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4BC9A" w14:textId="47BC2879" w:rsidR="007C6D5A" w:rsidRDefault="00C14731" w:rsidP="001E768A">
      <w:pPr>
        <w:pStyle w:val="BodyText"/>
        <w:spacing w:before="65" w:line="360" w:lineRule="auto"/>
        <w:ind w:left="1800" w:right="3442" w:hanging="90"/>
        <w:jc w:val="left"/>
        <w:rPr>
          <w:noProof/>
        </w:rPr>
      </w:pPr>
      <w:r>
        <w:rPr>
          <w:noProof/>
        </w:rPr>
        <w:drawing>
          <wp:anchor distT="0" distB="0" distL="114300" distR="114300" simplePos="0" relativeHeight="251660288" behindDoc="1" locked="0" layoutInCell="1" allowOverlap="1" wp14:anchorId="2513C39A" wp14:editId="5B2E86E2">
            <wp:simplePos x="0" y="0"/>
            <wp:positionH relativeFrom="column">
              <wp:posOffset>5927725</wp:posOffset>
            </wp:positionH>
            <wp:positionV relativeFrom="paragraph">
              <wp:posOffset>150334</wp:posOffset>
            </wp:positionV>
            <wp:extent cx="667385" cy="604520"/>
            <wp:effectExtent l="0" t="0" r="0" b="5080"/>
            <wp:wrapNone/>
            <wp:docPr id="2942493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7385" cy="60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05D5" w:rsidRPr="009E05D5">
        <w:rPr>
          <w:noProof/>
        </w:rPr>
        <w:drawing>
          <wp:anchor distT="0" distB="0" distL="114300" distR="114300" simplePos="0" relativeHeight="251662336" behindDoc="1" locked="0" layoutInCell="1" allowOverlap="1" wp14:anchorId="47F58279" wp14:editId="0ECFC369">
            <wp:simplePos x="0" y="0"/>
            <wp:positionH relativeFrom="column">
              <wp:posOffset>501649</wp:posOffset>
            </wp:positionH>
            <wp:positionV relativeFrom="paragraph">
              <wp:posOffset>22095</wp:posOffset>
            </wp:positionV>
            <wp:extent cx="2543175" cy="765243"/>
            <wp:effectExtent l="0" t="0" r="0" b="0"/>
            <wp:wrapNone/>
            <wp:docPr id="150963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3247" name=""/>
                    <pic:cNvPicPr/>
                  </pic:nvPicPr>
                  <pic:blipFill>
                    <a:blip r:embed="rId7">
                      <a:extLst>
                        <a:ext uri="{28A0092B-C50C-407E-A947-70E740481C1C}">
                          <a14:useLocalDpi xmlns:a14="http://schemas.microsoft.com/office/drawing/2010/main" val="0"/>
                        </a:ext>
                      </a:extLst>
                    </a:blip>
                    <a:stretch>
                      <a:fillRect/>
                    </a:stretch>
                  </pic:blipFill>
                  <pic:spPr>
                    <a:xfrm>
                      <a:off x="0" y="0"/>
                      <a:ext cx="2546834" cy="766344"/>
                    </a:xfrm>
                    <a:prstGeom prst="rect">
                      <a:avLst/>
                    </a:prstGeom>
                  </pic:spPr>
                </pic:pic>
              </a:graphicData>
            </a:graphic>
            <wp14:sizeRelH relativeFrom="margin">
              <wp14:pctWidth>0</wp14:pctWidth>
            </wp14:sizeRelH>
            <wp14:sizeRelV relativeFrom="margin">
              <wp14:pctHeight>0</wp14:pctHeight>
            </wp14:sizeRelV>
          </wp:anchor>
        </w:drawing>
      </w:r>
      <w:r w:rsidR="004C2A2B">
        <w:rPr>
          <w:noProof/>
          <w:sz w:val="20"/>
        </w:rPr>
        <mc:AlternateContent>
          <mc:Choice Requires="wps">
            <w:drawing>
              <wp:anchor distT="0" distB="0" distL="0" distR="0" simplePos="0" relativeHeight="251656192" behindDoc="1" locked="0" layoutInCell="1" allowOverlap="1" wp14:anchorId="0173508C" wp14:editId="7264E4D9">
                <wp:simplePos x="0" y="0"/>
                <wp:positionH relativeFrom="page">
                  <wp:posOffset>5599684</wp:posOffset>
                </wp:positionH>
                <wp:positionV relativeFrom="page">
                  <wp:posOffset>184150</wp:posOffset>
                </wp:positionV>
                <wp:extent cx="1802423" cy="360485"/>
                <wp:effectExtent l="0" t="0" r="0" b="0"/>
                <wp:wrapNone/>
                <wp:docPr id="1943794970"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423" cy="360485"/>
                        </a:xfrm>
                        <a:prstGeom prst="rect">
                          <a:avLst/>
                        </a:prstGeom>
                      </wps:spPr>
                      <wps:txbx>
                        <w:txbxContent>
                          <w:p w14:paraId="3AB832BE" w14:textId="3498D8AD" w:rsidR="00C46D63" w:rsidRPr="004C2A2B" w:rsidRDefault="001E768A" w:rsidP="00C46D63">
                            <w:pPr>
                              <w:pStyle w:val="BodyText"/>
                              <w:spacing w:before="5"/>
                              <w:ind w:left="20"/>
                              <w:rPr>
                                <w:spacing w:val="-2"/>
                                <w:sz w:val="16"/>
                                <w:szCs w:val="16"/>
                              </w:rPr>
                            </w:pPr>
                            <w:r>
                              <w:rPr>
                                <w:spacing w:val="-2"/>
                                <w:sz w:val="16"/>
                                <w:szCs w:val="16"/>
                              </w:rPr>
                              <w:t xml:space="preserve">          </w:t>
                            </w:r>
                            <w:r w:rsidR="00C46D63" w:rsidRPr="004C2A2B">
                              <w:rPr>
                                <w:spacing w:val="-2"/>
                                <w:sz w:val="16"/>
                                <w:szCs w:val="16"/>
                              </w:rPr>
                              <w:t xml:space="preserve">Volume </w:t>
                            </w:r>
                            <w:r>
                              <w:rPr>
                                <w:spacing w:val="-2"/>
                                <w:sz w:val="16"/>
                                <w:szCs w:val="16"/>
                              </w:rPr>
                              <w:t>1</w:t>
                            </w:r>
                            <w:r w:rsidR="00C46D63" w:rsidRPr="004C2A2B">
                              <w:rPr>
                                <w:spacing w:val="-2"/>
                                <w:sz w:val="16"/>
                                <w:szCs w:val="16"/>
                              </w:rPr>
                              <w:t xml:space="preserve">, Issue </w:t>
                            </w:r>
                            <w:r>
                              <w:rPr>
                                <w:spacing w:val="-2"/>
                                <w:sz w:val="16"/>
                                <w:szCs w:val="16"/>
                              </w:rPr>
                              <w:t>1</w:t>
                            </w:r>
                            <w:r w:rsidR="00C46D63" w:rsidRPr="004C2A2B">
                              <w:rPr>
                                <w:spacing w:val="-2"/>
                                <w:sz w:val="16"/>
                                <w:szCs w:val="16"/>
                              </w:rPr>
                              <w:t>,</w:t>
                            </w:r>
                            <w:r>
                              <w:rPr>
                                <w:spacing w:val="-2"/>
                                <w:sz w:val="16"/>
                                <w:szCs w:val="16"/>
                              </w:rPr>
                              <w:t xml:space="preserve"> Mei 202</w:t>
                            </w:r>
                            <w:r w:rsidR="005342B3">
                              <w:rPr>
                                <w:spacing w:val="-2"/>
                                <w:sz w:val="16"/>
                                <w:szCs w:val="16"/>
                              </w:rPr>
                              <w:t>6</w:t>
                            </w:r>
                          </w:p>
                          <w:p w14:paraId="0C69342A" w14:textId="27B5E2CF" w:rsidR="00C46D63" w:rsidRPr="004C2A2B" w:rsidRDefault="00C46D63" w:rsidP="00C46D63">
                            <w:pPr>
                              <w:pStyle w:val="BodyText"/>
                              <w:spacing w:before="5"/>
                              <w:ind w:left="20"/>
                              <w:rPr>
                                <w:sz w:val="16"/>
                                <w:szCs w:val="16"/>
                              </w:rPr>
                            </w:pPr>
                            <w:r w:rsidRPr="004C2A2B">
                              <w:rPr>
                                <w:spacing w:val="-2"/>
                                <w:sz w:val="16"/>
                                <w:szCs w:val="16"/>
                              </w:rPr>
                              <w:t xml:space="preserve">                    E-ISSN : xxx-xxxx</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173508C" id="_x0000_t202" coordsize="21600,21600" o:spt="202" path="m,l,21600r21600,l21600,xe">
                <v:stroke joinstyle="miter"/>
                <v:path gradientshapeok="t" o:connecttype="rect"/>
              </v:shapetype>
              <v:shape id="Textbox 13" o:spid="_x0000_s1026" type="#_x0000_t202" style="position:absolute;left:0;text-align:left;margin-left:440.9pt;margin-top:14.5pt;width:141.9pt;height:28.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0yalAEAABsDAAAOAAAAZHJzL2Uyb0RvYy54bWysUsGO0zAQvSPxD5bv1NnusqqipitgBUJa&#10;AdIuH+A6dhMRe8yM26R/z9hNWwQ3xGUyzozfvPfG64fJD+JgkXoIjbxZVFLYYKDtw66R318+vllJ&#10;QUmHVg8QbCOPluTD5vWr9Rhru4QOhtaiYJBA9Rgb2aUUa6XIdNZrWkC0gYsO0OvER9ypFvXI6H5Q&#10;y6q6VyNgGxGMJeK/j6ei3BR856xJX50jm8TQSOaWSsQStzmqzVrXO9Sx681MQ/8DC6/7wEMvUI86&#10;abHH/i8o3xsEApcWBrwC53pjiwZWc1P9oea509EWLWwOxYtN9P9gzZfDc/yGIk3vYeIFFhEUn8D8&#10;IPZGjZHquSd7SjVxdxY6OfT5yxIEX2Rvjxc/7ZSEyWiranm3vJXCcO32vrpbvc2Gq+vtiJQ+WfAi&#10;J41E3ldhoA9PlE6t55aZzGl+ZpKm7cQtOd1Ce2QRI++xkfRzr9FKMXwObFRe+jnBc7I9J5iGD1Ce&#10;RtYS4N0+gevL5CvuPJk3ULjPryWv+Pdz6bq+6c0vAAAA//8DAFBLAwQUAAYACAAAACEAFaDHft8A&#10;AAAKAQAADwAAAGRycy9kb3ducmV2LnhtbEyPQWuDQBSE74X+h+UVemtWAxFjXUMo7akQasyhx9V9&#10;UYn71rqbxPz7vpza4zDDzDf5ZraDuODke0cK4kUEAqlxpqdWwaH6eElB+KDJ6MERKrihh03x+JDr&#10;zLgrlXjZh1ZwCflMK+hCGDMpfdOh1X7hRiT2jm6yOrCcWmkmfeVyO8hlFCXS6p54odMjvnXYnPZn&#10;q2D7TeV7/7Orv8pj2VfVOqLP5KTU89O8fQURcA5/YbjjMzoUzFS7MxkvBgVpGjN6ULBc86d7IE5W&#10;CYiarVUKssjl/wvFLwAAAP//AwBQSwECLQAUAAYACAAAACEAtoM4kv4AAADhAQAAEwAAAAAAAAAA&#10;AAAAAAAAAAAAW0NvbnRlbnRfVHlwZXNdLnhtbFBLAQItABQABgAIAAAAIQA4/SH/1gAAAJQBAAAL&#10;AAAAAAAAAAAAAAAAAC8BAABfcmVscy8ucmVsc1BLAQItABQABgAIAAAAIQANI0yalAEAABsDAAAO&#10;AAAAAAAAAAAAAAAAAC4CAABkcnMvZTJvRG9jLnhtbFBLAQItABQABgAIAAAAIQAVoMd+3wAAAAoB&#10;AAAPAAAAAAAAAAAAAAAAAO4DAABkcnMvZG93bnJldi54bWxQSwUGAAAAAAQABADzAAAA+gQAAAAA&#10;" filled="f" stroked="f">
                <v:textbox inset="0,0,0,0">
                  <w:txbxContent>
                    <w:p w14:paraId="3AB832BE" w14:textId="3498D8AD" w:rsidR="00C46D63" w:rsidRPr="004C2A2B" w:rsidRDefault="001E768A" w:rsidP="00C46D63">
                      <w:pPr>
                        <w:pStyle w:val="BodyText"/>
                        <w:spacing w:before="5"/>
                        <w:ind w:left="20"/>
                        <w:rPr>
                          <w:spacing w:val="-2"/>
                          <w:sz w:val="16"/>
                          <w:szCs w:val="16"/>
                        </w:rPr>
                      </w:pPr>
                      <w:r>
                        <w:rPr>
                          <w:spacing w:val="-2"/>
                          <w:sz w:val="16"/>
                          <w:szCs w:val="16"/>
                        </w:rPr>
                        <w:t xml:space="preserve">          </w:t>
                      </w:r>
                      <w:r w:rsidR="00C46D63" w:rsidRPr="004C2A2B">
                        <w:rPr>
                          <w:spacing w:val="-2"/>
                          <w:sz w:val="16"/>
                          <w:szCs w:val="16"/>
                        </w:rPr>
                        <w:t xml:space="preserve">Volume </w:t>
                      </w:r>
                      <w:r>
                        <w:rPr>
                          <w:spacing w:val="-2"/>
                          <w:sz w:val="16"/>
                          <w:szCs w:val="16"/>
                        </w:rPr>
                        <w:t>1</w:t>
                      </w:r>
                      <w:r w:rsidR="00C46D63" w:rsidRPr="004C2A2B">
                        <w:rPr>
                          <w:spacing w:val="-2"/>
                          <w:sz w:val="16"/>
                          <w:szCs w:val="16"/>
                        </w:rPr>
                        <w:t xml:space="preserve">, Issue </w:t>
                      </w:r>
                      <w:r>
                        <w:rPr>
                          <w:spacing w:val="-2"/>
                          <w:sz w:val="16"/>
                          <w:szCs w:val="16"/>
                        </w:rPr>
                        <w:t>1</w:t>
                      </w:r>
                      <w:r w:rsidR="00C46D63" w:rsidRPr="004C2A2B">
                        <w:rPr>
                          <w:spacing w:val="-2"/>
                          <w:sz w:val="16"/>
                          <w:szCs w:val="16"/>
                        </w:rPr>
                        <w:t>,</w:t>
                      </w:r>
                      <w:r>
                        <w:rPr>
                          <w:spacing w:val="-2"/>
                          <w:sz w:val="16"/>
                          <w:szCs w:val="16"/>
                        </w:rPr>
                        <w:t xml:space="preserve"> Mei 202</w:t>
                      </w:r>
                      <w:r w:rsidR="005342B3">
                        <w:rPr>
                          <w:spacing w:val="-2"/>
                          <w:sz w:val="16"/>
                          <w:szCs w:val="16"/>
                        </w:rPr>
                        <w:t>6</w:t>
                      </w:r>
                    </w:p>
                    <w:p w14:paraId="0C69342A" w14:textId="27B5E2CF" w:rsidR="00C46D63" w:rsidRPr="004C2A2B" w:rsidRDefault="00C46D63" w:rsidP="00C46D63">
                      <w:pPr>
                        <w:pStyle w:val="BodyText"/>
                        <w:spacing w:before="5"/>
                        <w:ind w:left="20"/>
                        <w:rPr>
                          <w:sz w:val="16"/>
                          <w:szCs w:val="16"/>
                        </w:rPr>
                      </w:pPr>
                      <w:r w:rsidRPr="004C2A2B">
                        <w:rPr>
                          <w:spacing w:val="-2"/>
                          <w:sz w:val="16"/>
                          <w:szCs w:val="16"/>
                        </w:rPr>
                        <w:t xml:space="preserve">                    E-ISSN : xxx-xxxx</w:t>
                      </w:r>
                    </w:p>
                  </w:txbxContent>
                </v:textbox>
                <w10:wrap anchorx="page" anchory="page"/>
              </v:shape>
            </w:pict>
          </mc:Fallback>
        </mc:AlternateContent>
      </w:r>
      <w:r w:rsidR="00700FA6">
        <w:rPr>
          <w:noProof/>
        </w:rPr>
        <mc:AlternateContent>
          <mc:Choice Requires="wps">
            <w:drawing>
              <wp:anchor distT="0" distB="0" distL="0" distR="0" simplePos="0" relativeHeight="251654144" behindDoc="0" locked="0" layoutInCell="1" allowOverlap="1" wp14:anchorId="7D90CD41" wp14:editId="0B4FBD4E">
                <wp:simplePos x="0" y="0"/>
                <wp:positionH relativeFrom="page">
                  <wp:posOffset>342900</wp:posOffset>
                </wp:positionH>
                <wp:positionV relativeFrom="page">
                  <wp:posOffset>720051</wp:posOffset>
                </wp:positionV>
                <wp:extent cx="261620" cy="8943340"/>
                <wp:effectExtent l="0" t="0" r="508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620" cy="8943340"/>
                        </a:xfrm>
                        <a:custGeom>
                          <a:avLst/>
                          <a:gdLst/>
                          <a:ahLst/>
                          <a:cxnLst/>
                          <a:rect l="l" t="t" r="r" b="b"/>
                          <a:pathLst>
                            <a:path w="261620" h="8943340">
                              <a:moveTo>
                                <a:pt x="261620" y="0"/>
                              </a:moveTo>
                              <a:lnTo>
                                <a:pt x="0" y="0"/>
                              </a:lnTo>
                              <a:lnTo>
                                <a:pt x="0" y="8943086"/>
                              </a:lnTo>
                              <a:lnTo>
                                <a:pt x="261620" y="8943086"/>
                              </a:lnTo>
                              <a:lnTo>
                                <a:pt x="261620" y="0"/>
                              </a:lnTo>
                              <a:close/>
                            </a:path>
                          </a:pathLst>
                        </a:custGeom>
                        <a:solidFill>
                          <a:schemeClr val="tx2">
                            <a:lumMod val="20000"/>
                            <a:lumOff val="80000"/>
                          </a:schemeClr>
                        </a:solidFill>
                      </wps:spPr>
                      <wps:bodyPr wrap="square" lIns="0" tIns="0" rIns="0" bIns="0" rtlCol="0">
                        <a:prstTxWarp prst="textNoShape">
                          <a:avLst/>
                        </a:prstTxWarp>
                        <a:noAutofit/>
                      </wps:bodyPr>
                    </wps:wsp>
                  </a:graphicData>
                </a:graphic>
              </wp:anchor>
            </w:drawing>
          </mc:Choice>
          <mc:Fallback>
            <w:pict>
              <v:shape w14:anchorId="2D571FDE" id="Graphic 4" o:spid="_x0000_s1026" style="position:absolute;margin-left:27pt;margin-top:56.7pt;width:20.6pt;height:704.2pt;z-index:251654144;visibility:visible;mso-wrap-style:square;mso-wrap-distance-left:0;mso-wrap-distance-top:0;mso-wrap-distance-right:0;mso-wrap-distance-bottom:0;mso-position-horizontal:absolute;mso-position-horizontal-relative:page;mso-position-vertical:absolute;mso-position-vertical-relative:page;v-text-anchor:top" coordsize="261620,894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YAOQIAAP4EAAAOAAAAZHJzL2Uyb0RvYy54bWysVE1v2zAMvQ/YfxB0X+ykRZAZcYqhRYcB&#10;XVegKXZWZDk2JouapMTOvx8lWY6xnTbsIlPkE/n45e3d0ElyFsa2oEq6XOSUCMWhatWxpG/7xw8b&#10;SqxjqmISlCjpRVh6t3v/btvrQqygAVkJQ9CJskWvS9o4p4sss7wRHbML0EKhsQbTMYdXc8wqw3r0&#10;3slslefrrAdTaQNcWIvah2iku+C/rgV33+raCkdkSZGbC6cJ58Gf2W7LiqNhumn5SIP9A4uOtQqD&#10;Tq4emGPkZNo/XHUtN2ChdgsOXQZ13XIRcsBslvlv2bw2TIuQCxbH6qlM9v+55c/nV/1iPHWrn4D/&#10;sFiRrNe2mCz+YkfMUJvOY5E4GUIVL1MVxeAIR+VqvVyvsNYcTZuPtzc3t6HMGSvSa36y7rOA4Imd&#10;n6yLXaiSxJok8UEl0WAvfRdl6KKjBLtoKMEuHmIXNXP+nafnRdJfqTRXJt7cwVnsIQCdTyMxTrkg&#10;1StEqjkU85qhki19dXAXMT71fLP23NBfQqRvRM4C/yU8lTT54xKsiKF88iHmVBCMPy+5BdlWj62U&#10;vgJh08S9NOTMsLpuWIU5lqfuK1RRh3uWj5uCatynqN4kNbqfvITAswBhlOL0+Dk6QHV5MaTHhSup&#10;/XliRlAivyicaL+dSTBJOCTBOHkPYYdD24x1++E7M5poFJE2Dt8zpH1hRZoqpOYBEetfKvh0clC3&#10;fuQCt8hovOCShQTGH4Lf4vk9oK6/rd0vAAAA//8DAFBLAwQUAAYACAAAACEAqA914N4AAAAKAQAA&#10;DwAAAGRycy9kb3ducmV2LnhtbEyPwU7DMBBE70j8g7VI3KiT0NA2jVMBglMlpBY+wIm3SSBeR7bb&#10;hL9nOcFxZ0czb8rdbAdxQR96RwrSRQICqXGmp1bBx/vr3RpEiJqMHhyhgm8MsKuur0pdGDfRAS/H&#10;2AoOoVBoBV2MYyFlaDq0OizciMS/k/NWRz59K43XE4fbQWZJ8iCt7okbOj3ic4fN1/FsFdT7t8+X&#10;w6lHa1Zp4ofV9LSPrVK3N/PjFkTEOf6Z4Ref0aFiptqdyQQxKMiXPCWynt4vQbBhk2cgahbyLF2D&#10;rEr5f0L1AwAA//8DAFBLAQItABQABgAIAAAAIQC2gziS/gAAAOEBAAATAAAAAAAAAAAAAAAAAAAA&#10;AABbQ29udGVudF9UeXBlc10ueG1sUEsBAi0AFAAGAAgAAAAhADj9If/WAAAAlAEAAAsAAAAAAAAA&#10;AAAAAAAALwEAAF9yZWxzLy5yZWxzUEsBAi0AFAAGAAgAAAAhAKORhgA5AgAA/gQAAA4AAAAAAAAA&#10;AAAAAAAALgIAAGRycy9lMm9Eb2MueG1sUEsBAi0AFAAGAAgAAAAhAKgPdeDeAAAACgEAAA8AAAAA&#10;AAAAAAAAAAAAkwQAAGRycy9kb3ducmV2LnhtbFBLBQYAAAAABAAEAPMAAACeBQAAAAA=&#10;" path="m261620,l,,,8943086r261620,l261620,xe" fillcolor="#c6d9f1 [671]" stroked="f">
                <v:path arrowok="t"/>
                <w10:wrap anchorx="page" anchory="page"/>
              </v:shape>
            </w:pict>
          </mc:Fallback>
        </mc:AlternateContent>
      </w:r>
      <w:r w:rsidR="00700FA6">
        <w:rPr>
          <w:noProof/>
        </w:rPr>
        <w:t xml:space="preserve"> </w:t>
      </w:r>
    </w:p>
    <w:p w14:paraId="35DFE823" w14:textId="54FEA2E6" w:rsidR="003C40E2" w:rsidRDefault="003C40E2" w:rsidP="001E768A">
      <w:pPr>
        <w:pStyle w:val="BodyText"/>
        <w:spacing w:before="65" w:line="360" w:lineRule="auto"/>
        <w:ind w:left="720" w:right="3442" w:hanging="90"/>
        <w:jc w:val="left"/>
        <w:rPr>
          <w:spacing w:val="-6"/>
        </w:rPr>
      </w:pPr>
      <w:r>
        <w:rPr>
          <w:spacing w:val="-6"/>
        </w:rPr>
        <w:t xml:space="preserve"> </w:t>
      </w:r>
    </w:p>
    <w:p w14:paraId="7E48D42E" w14:textId="5EE9E21C" w:rsidR="00B3329E" w:rsidRDefault="003C40E2" w:rsidP="001E768A">
      <w:pPr>
        <w:pStyle w:val="BodyText"/>
        <w:spacing w:before="65" w:line="360" w:lineRule="auto"/>
        <w:ind w:left="720" w:right="3442" w:hanging="90"/>
        <w:jc w:val="left"/>
      </w:pPr>
      <w:r>
        <w:rPr>
          <w:spacing w:val="-6"/>
        </w:rPr>
        <w:t xml:space="preserve"> </w:t>
      </w:r>
      <w:r>
        <w:rPr>
          <w:spacing w:val="-6"/>
        </w:rPr>
        <w:tab/>
      </w:r>
      <w:r>
        <w:rPr>
          <w:spacing w:val="-6"/>
        </w:rPr>
        <w:tab/>
        <w:t xml:space="preserve">       </w:t>
      </w:r>
    </w:p>
    <w:p w14:paraId="1F9D26BD" w14:textId="3C1C7AE5" w:rsidR="00CA0D37" w:rsidRPr="00EC5AB1" w:rsidRDefault="00BE4D62" w:rsidP="001E768A">
      <w:pPr>
        <w:spacing w:line="360" w:lineRule="auto"/>
      </w:pPr>
      <w:r w:rsidRPr="00EC5AB1">
        <w:rPr>
          <w:noProof/>
        </w:rPr>
        <mc:AlternateContent>
          <mc:Choice Requires="wps">
            <w:drawing>
              <wp:anchor distT="0" distB="0" distL="0" distR="0" simplePos="0" relativeHeight="251650048" behindDoc="1" locked="0" layoutInCell="1" allowOverlap="1" wp14:anchorId="2E622681" wp14:editId="38F7F97A">
                <wp:simplePos x="0" y="0"/>
                <wp:positionH relativeFrom="page">
                  <wp:posOffset>701040</wp:posOffset>
                </wp:positionH>
                <wp:positionV relativeFrom="paragraph">
                  <wp:posOffset>291338</wp:posOffset>
                </wp:positionV>
                <wp:extent cx="61601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9525"/>
                        </a:xfrm>
                        <a:custGeom>
                          <a:avLst/>
                          <a:gdLst/>
                          <a:ahLst/>
                          <a:cxnLst/>
                          <a:rect l="l" t="t" r="r" b="b"/>
                          <a:pathLst>
                            <a:path w="6160135" h="9525">
                              <a:moveTo>
                                <a:pt x="6160008" y="0"/>
                              </a:moveTo>
                              <a:lnTo>
                                <a:pt x="0" y="0"/>
                              </a:lnTo>
                              <a:lnTo>
                                <a:pt x="0" y="9143"/>
                              </a:lnTo>
                              <a:lnTo>
                                <a:pt x="6160008" y="9143"/>
                              </a:lnTo>
                              <a:lnTo>
                                <a:pt x="6160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D0B328" id="Graphic 6" o:spid="_x0000_s1026" style="position:absolute;margin-left:55.2pt;margin-top:22.95pt;width:485.05pt;height:.75pt;z-index:-251666432;visibility:visible;mso-wrap-style:square;mso-wrap-distance-left:0;mso-wrap-distance-top:0;mso-wrap-distance-right:0;mso-wrap-distance-bottom:0;mso-position-horizontal:absolute;mso-position-horizontal-relative:page;mso-position-vertical:absolute;mso-position-vertical-relative:text;v-text-anchor:top" coordsize="61601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TVIwIAAL0EAAAOAAAAZHJzL2Uyb0RvYy54bWysVMFu2zAMvQ/YPwi6L3bSpViNOMXQosOA&#10;oivQFDsrshwbk0VNVGLn70fJVmpspw3zQabMJ+rxkfTmdug0OymHLZiSLxc5Z8pIqFpzKPnr7uHD&#10;J87QC1MJDUaV/KyQ327fv9v0tlAraEBXyjEKYrDobckb722RZSgb1QlcgFWGnDW4TnjaukNWOdFT&#10;9E5nqzy/znpwlXUgFSJ9vR+dfBvj17WS/ltdo/JMl5y4+bi6uO7Dmm03ojg4YZtWTjTEP7DoRGvo&#10;0kuoe+EFO7r2j1BdKx0g1H4hocugrlupYg6UzTL/LZuXRlgVcyFx0F5kwv8XVj6dXuyzC9TRPoL8&#10;gaRI1lssLp6wwQkz1K4LWCLOhqji+aKiGjyT9PF6eZ0vr9acSfLdrFfrIHIminRWHtF/URDjiNMj&#10;+rEGVbJEkyw5mGQ6qmSooY419JxRDR1nVMP9WEMrfDgXyAWT9TMizcQjODs4qR1EmA8pBLZ5Tl2a&#10;EiGmbxht5lhqoBkq+dLbxngj5mb58WpKO7nTe4TNr/0rcGxZ4pjCSQ2oRoFD3lHpixaEm6uNoNvq&#10;odU6pI/usL/Tjp1EGI34TIxnsNgJY/FDG+yhOj871tO8lBx/HoVTnOmvhhoyDFcyXDL2yXBe30Ec&#10;wai8Q78bvgtnmSWz5J565wlSu4sitQXxD4ARG04a+Hz0ULehZyK3kdG0oRmJ+U/zHIZwvo+ot7/O&#10;9hcAAAD//wMAUEsDBBQABgAIAAAAIQA+yD404AAAAAoBAAAPAAAAZHJzL2Rvd25yZXYueG1sTI/B&#10;TsMwDIbvSLxDZCQuaEuKWthK02lFmoSQdmDsws1tQltonKpJt/D2ZCc4/van35+LTTADO+nJ9ZYk&#10;JEsBTFNjVU+thOP7brEC5jySwsGSlvCjHWzK66sCc2XP9KZPB9+yWEIuRwmd92POuWs6bdAt7agp&#10;7j7tZNDHOLVcTXiO5Wbg90I8cIM9xQsdjvq50833YTYS9mH+CK/b3bpq7l6+6qzCrEpQytubsH0C&#10;5nXwfzBc9KM6lNGptjMpx4aYE5FGVEKarYFdALESGbA6Th5T4GXB/79Q/gIAAP//AwBQSwECLQAU&#10;AAYACAAAACEAtoM4kv4AAADhAQAAEwAAAAAAAAAAAAAAAAAAAAAAW0NvbnRlbnRfVHlwZXNdLnht&#10;bFBLAQItABQABgAIAAAAIQA4/SH/1gAAAJQBAAALAAAAAAAAAAAAAAAAAC8BAABfcmVscy8ucmVs&#10;c1BLAQItABQABgAIAAAAIQDjZZTVIwIAAL0EAAAOAAAAAAAAAAAAAAAAAC4CAABkcnMvZTJvRG9j&#10;LnhtbFBLAQItABQABgAIAAAAIQA+yD404AAAAAoBAAAPAAAAAAAAAAAAAAAAAH0EAABkcnMvZG93&#10;bnJldi54bWxQSwUGAAAAAAQABADzAAAAigUAAAAA&#10;" path="m6160008,l,,,9143r6160008,l6160008,xe" fillcolor="black" stroked="f">
                <v:path arrowok="t"/>
                <w10:wrap type="topAndBottom" anchorx="page"/>
              </v:shape>
            </w:pict>
          </mc:Fallback>
        </mc:AlternateContent>
      </w:r>
    </w:p>
    <w:p w14:paraId="6AE3F481" w14:textId="22F1F66D" w:rsidR="00CA0D37" w:rsidRDefault="007310A3" w:rsidP="001E768A">
      <w:pPr>
        <w:pStyle w:val="Title"/>
        <w:spacing w:line="360" w:lineRule="auto"/>
      </w:pPr>
      <w:r w:rsidRPr="007310A3">
        <w:rPr>
          <w:spacing w:val="-18"/>
        </w:rPr>
        <w:t>AI-Enabled Smart Manufacturing and Sustainable Industrial Transformation: Comparative Engineering Systems Analysis of Germany’s Industrie 4.0 and South Korea’s AI Autonomous Manufacturing Model</w:t>
      </w:r>
      <w:r w:rsidR="00AD48AF" w:rsidRPr="00AD48AF">
        <w:rPr>
          <w:spacing w:val="-18"/>
        </w:rPr>
        <w:t xml:space="preserve">               </w:t>
      </w:r>
    </w:p>
    <w:p w14:paraId="4627DC85" w14:textId="1F7C47EE" w:rsidR="00CA0D37" w:rsidRPr="007310A3" w:rsidRDefault="007310A3" w:rsidP="001E768A">
      <w:pPr>
        <w:pStyle w:val="BodyText"/>
        <w:spacing w:before="247" w:line="360" w:lineRule="auto"/>
        <w:ind w:left="565"/>
        <w:jc w:val="center"/>
        <w:rPr>
          <w:position w:val="5"/>
          <w:sz w:val="14"/>
          <w:vertAlign w:val="superscript"/>
        </w:rPr>
      </w:pPr>
      <w:r>
        <w:rPr>
          <w:spacing w:val="-4"/>
        </w:rPr>
        <w:t>Ahmad Yani</w:t>
      </w:r>
      <w:r>
        <w:rPr>
          <w:spacing w:val="-4"/>
          <w:position w:val="5"/>
          <w:sz w:val="14"/>
        </w:rPr>
        <w:t>1</w:t>
      </w:r>
    </w:p>
    <w:p w14:paraId="1B7851E6" w14:textId="181B0999" w:rsidR="007310A3" w:rsidRPr="008155CB" w:rsidRDefault="008155CB" w:rsidP="008155CB">
      <w:pPr>
        <w:pStyle w:val="BodyText"/>
        <w:spacing w:before="247" w:line="360" w:lineRule="auto"/>
        <w:ind w:left="565"/>
        <w:jc w:val="left"/>
        <w:rPr>
          <w:position w:val="5"/>
          <w:sz w:val="14"/>
          <w:vertAlign w:val="superscript"/>
        </w:rPr>
      </w:pPr>
      <w:r>
        <w:rPr>
          <w:spacing w:val="-4"/>
        </w:rPr>
        <w:t>Ahmad Yani</w:t>
      </w:r>
      <w:r w:rsidR="007310A3" w:rsidRPr="007310A3">
        <w:rPr>
          <w:i/>
          <w:w w:val="90"/>
          <w:position w:val="5"/>
          <w:szCs w:val="36"/>
        </w:rPr>
        <w:br/>
        <w:t>Department of Mechanical and Industrial Engineering</w:t>
      </w:r>
      <w:r w:rsidR="007310A3" w:rsidRPr="007310A3">
        <w:rPr>
          <w:i/>
          <w:w w:val="90"/>
          <w:position w:val="5"/>
          <w:szCs w:val="36"/>
        </w:rPr>
        <w:br/>
        <w:t>Massachusetts Institute of Technology</w:t>
      </w:r>
    </w:p>
    <w:p w14:paraId="6804AC65" w14:textId="0FB39050" w:rsidR="00CA0D37" w:rsidRDefault="00BE4D62" w:rsidP="001E768A">
      <w:pPr>
        <w:spacing w:before="241" w:line="360" w:lineRule="auto"/>
        <w:ind w:left="708"/>
      </w:pPr>
      <w:r>
        <w:rPr>
          <w:spacing w:val="-6"/>
        </w:rPr>
        <w:t>*</w:t>
      </w:r>
      <w:r>
        <w:rPr>
          <w:b/>
          <w:spacing w:val="-6"/>
        </w:rPr>
        <w:t>Corresponding</w:t>
      </w:r>
      <w:r>
        <w:rPr>
          <w:b/>
          <w:spacing w:val="2"/>
        </w:rPr>
        <w:t xml:space="preserve"> </w:t>
      </w:r>
      <w:r>
        <w:rPr>
          <w:b/>
          <w:spacing w:val="-6"/>
        </w:rPr>
        <w:t>Author:</w:t>
      </w:r>
      <w:r>
        <w:rPr>
          <w:b/>
        </w:rPr>
        <w:t xml:space="preserve"> </w:t>
      </w:r>
      <w:hyperlink r:id="rId8" w:history="1">
        <w:r w:rsidR="00206CA7" w:rsidRPr="0074455F">
          <w:rPr>
            <w:rStyle w:val="Hyperlink"/>
          </w:rPr>
          <w:t xml:space="preserve"> ahmadyani@mit.edu</w:t>
        </w:r>
        <w:r w:rsidR="00206CA7" w:rsidRPr="0074455F">
          <w:rPr>
            <w:rStyle w:val="Hyperlink"/>
            <w:spacing w:val="-6"/>
          </w:rPr>
          <w:t xml:space="preserve"> </w:t>
        </w:r>
      </w:hyperlink>
    </w:p>
    <w:p w14:paraId="16569980" w14:textId="34F95940" w:rsidR="00CA0D37" w:rsidRDefault="00BE4D62" w:rsidP="001E768A">
      <w:pPr>
        <w:pStyle w:val="BodyText"/>
        <w:spacing w:before="246" w:line="360" w:lineRule="auto"/>
        <w:ind w:right="139"/>
      </w:pPr>
      <w:r>
        <w:rPr>
          <w:b/>
          <w:color w:val="006FC5"/>
          <w:spacing w:val="-4"/>
        </w:rPr>
        <w:t>Citation:</w:t>
      </w:r>
      <w:r>
        <w:rPr>
          <w:b/>
          <w:color w:val="006FC5"/>
          <w:spacing w:val="-10"/>
        </w:rPr>
        <w:t xml:space="preserve"> </w:t>
      </w:r>
      <w:r w:rsidR="00FA22AC">
        <w:rPr>
          <w:color w:val="545454"/>
          <w:spacing w:val="-4"/>
        </w:rPr>
        <w:t>Aziz</w:t>
      </w:r>
      <w:r>
        <w:rPr>
          <w:color w:val="545454"/>
          <w:spacing w:val="-9"/>
        </w:rPr>
        <w:t xml:space="preserve"> </w:t>
      </w:r>
      <w:r>
        <w:rPr>
          <w:color w:val="545454"/>
          <w:spacing w:val="-4"/>
        </w:rPr>
        <w:t>(202</w:t>
      </w:r>
      <w:r w:rsidR="008D21D5">
        <w:rPr>
          <w:color w:val="545454"/>
          <w:spacing w:val="-4"/>
        </w:rPr>
        <w:t>6</w:t>
      </w:r>
      <w:r>
        <w:rPr>
          <w:color w:val="545454"/>
          <w:spacing w:val="-4"/>
        </w:rPr>
        <w:t>)</w:t>
      </w:r>
      <w:r w:rsidR="00D877EA" w:rsidRPr="00D877EA">
        <w:rPr>
          <w:color w:val="545454"/>
          <w:spacing w:val="-4"/>
        </w:rPr>
        <w:t>(Book Antiqua 14pt Bold)</w:t>
      </w:r>
      <w:r>
        <w:rPr>
          <w:color w:val="545454"/>
          <w:spacing w:val="-6"/>
        </w:rPr>
        <w:t>.</w:t>
      </w:r>
      <w:r w:rsidR="007310A3" w:rsidRPr="007310A3">
        <w:t xml:space="preserve"> </w:t>
      </w:r>
      <w:r w:rsidR="007310A3" w:rsidRPr="007310A3">
        <w:rPr>
          <w:color w:val="545454"/>
          <w:spacing w:val="-6"/>
        </w:rPr>
        <w:t>AI-Enabled Smart Manufacturing and Sustainable Industrial Transformation: Comparative Engineering Systems Analysis of Germany’s Industrie 4.0 and South Korea’s AI Autonomous Manufacturing Model</w:t>
      </w:r>
      <w:r>
        <w:rPr>
          <w:color w:val="545454"/>
          <w:spacing w:val="-4"/>
        </w:rPr>
        <w:t>,</w:t>
      </w:r>
      <w:r>
        <w:rPr>
          <w:color w:val="545454"/>
          <w:spacing w:val="-9"/>
        </w:rPr>
        <w:t xml:space="preserve"> </w:t>
      </w:r>
      <w:r>
        <w:rPr>
          <w:i/>
          <w:color w:val="545454"/>
          <w:spacing w:val="-4"/>
        </w:rPr>
        <w:t>10</w:t>
      </w:r>
      <w:r>
        <w:rPr>
          <w:color w:val="545454"/>
          <w:spacing w:val="-4"/>
        </w:rPr>
        <w:t>(4),</w:t>
      </w:r>
      <w:r>
        <w:rPr>
          <w:color w:val="545454"/>
          <w:spacing w:val="-10"/>
        </w:rPr>
        <w:t xml:space="preserve"> </w:t>
      </w:r>
      <w:r w:rsidR="007B09D4">
        <w:rPr>
          <w:color w:val="545454"/>
          <w:spacing w:val="-4"/>
        </w:rPr>
        <w:t>xx</w:t>
      </w:r>
      <w:r>
        <w:rPr>
          <w:color w:val="545454"/>
          <w:spacing w:val="-4"/>
        </w:rPr>
        <w:t>–</w:t>
      </w:r>
      <w:r w:rsidR="007B09D4">
        <w:rPr>
          <w:color w:val="545454"/>
          <w:spacing w:val="-4"/>
        </w:rPr>
        <w:t>xx</w:t>
      </w:r>
      <w:r>
        <w:rPr>
          <w:color w:val="545454"/>
          <w:spacing w:val="-4"/>
        </w:rPr>
        <w:t>.</w:t>
      </w:r>
      <w:r>
        <w:rPr>
          <w:color w:val="545454"/>
          <w:spacing w:val="-10"/>
        </w:rPr>
        <w:t xml:space="preserve"> </w:t>
      </w:r>
      <w:hyperlink r:id="rId9">
        <w:r w:rsidR="00CA0D37">
          <w:rPr>
            <w:color w:val="006FC5"/>
            <w:spacing w:val="-4"/>
          </w:rPr>
          <w:t>https://doi.org/</w:t>
        </w:r>
        <w:r w:rsidR="000D72A9">
          <w:rPr>
            <w:color w:val="006FC5"/>
            <w:spacing w:val="-4"/>
          </w:rPr>
          <w:t>0000-0000</w:t>
        </w:r>
      </w:hyperlink>
    </w:p>
    <w:p w14:paraId="134B922E" w14:textId="544E1F65" w:rsidR="00CA0D37" w:rsidRDefault="00BE4D62" w:rsidP="001E768A">
      <w:pPr>
        <w:spacing w:before="243" w:line="360" w:lineRule="auto"/>
        <w:ind w:left="708"/>
        <w:jc w:val="both"/>
      </w:pPr>
      <w:r>
        <w:rPr>
          <w:b/>
          <w:spacing w:val="-2"/>
        </w:rPr>
        <w:t>Published:</w:t>
      </w:r>
      <w:r>
        <w:rPr>
          <w:b/>
          <w:spacing w:val="-9"/>
        </w:rPr>
        <w:t xml:space="preserve"> </w:t>
      </w:r>
      <w:r w:rsidR="005342B3">
        <w:rPr>
          <w:spacing w:val="-2"/>
        </w:rPr>
        <w:t>11/05/2026</w:t>
      </w:r>
    </w:p>
    <w:p w14:paraId="5533978C" w14:textId="77777777" w:rsidR="00CA0D37" w:rsidRDefault="00BE4D62" w:rsidP="001E768A">
      <w:pPr>
        <w:pStyle w:val="Heading2"/>
        <w:spacing w:before="242" w:line="360" w:lineRule="auto"/>
        <w:jc w:val="left"/>
      </w:pPr>
      <w:r>
        <w:rPr>
          <w:noProof/>
        </w:rPr>
        <mc:AlternateContent>
          <mc:Choice Requires="wps">
            <w:drawing>
              <wp:anchor distT="0" distB="0" distL="0" distR="0" simplePos="0" relativeHeight="487588352" behindDoc="1" locked="0" layoutInCell="1" allowOverlap="1" wp14:anchorId="77E435E5" wp14:editId="08F49339">
                <wp:simplePos x="0" y="0"/>
                <wp:positionH relativeFrom="page">
                  <wp:posOffset>701040</wp:posOffset>
                </wp:positionH>
                <wp:positionV relativeFrom="paragraph">
                  <wp:posOffset>332848</wp:posOffset>
                </wp:positionV>
                <wp:extent cx="6160135"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18415"/>
                        </a:xfrm>
                        <a:custGeom>
                          <a:avLst/>
                          <a:gdLst/>
                          <a:ahLst/>
                          <a:cxnLst/>
                          <a:rect l="l" t="t" r="r" b="b"/>
                          <a:pathLst>
                            <a:path w="6160135" h="18415">
                              <a:moveTo>
                                <a:pt x="6160008" y="0"/>
                              </a:moveTo>
                              <a:lnTo>
                                <a:pt x="0" y="0"/>
                              </a:lnTo>
                              <a:lnTo>
                                <a:pt x="0" y="18287"/>
                              </a:lnTo>
                              <a:lnTo>
                                <a:pt x="6160008" y="18287"/>
                              </a:lnTo>
                              <a:lnTo>
                                <a:pt x="6160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175712" id="Graphic 7" o:spid="_x0000_s1026" style="position:absolute;margin-left:55.2pt;margin-top:26.2pt;width:485.05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6013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4eJAIAAMEEAAAOAAAAZHJzL2Uyb0RvYy54bWysVMGO0zAQvSPxD5bvNElhSxU1XaFdLUJa&#10;LSttEWfXcZoIx2PGbtP+PWMn7kZwAtFDMs68TN68edPN7bnX7KTQdWAqXixyzpSRUHfmUPFvu4d3&#10;a86cF6YWGoyq+EU5frt9+2Yz2FItoQVdK2RUxLhysBVvvbdlljnZql64BVhlKNkA9sLTEQ9ZjWKg&#10;6r3Olnm+ygbA2iJI5Rw9vR+TfBvrN42S/mvTOOWZrjhx8/GK8boP12y7EeUBhW07OdEQ/8CiF52h&#10;j15L3Qsv2BG7P0r1nURw0PiFhD6Dpumkij1QN0X+WzcvrbAq9kLiOHuVyf2/svLp9GKfMVB39hHk&#10;D0eKZIN15TUTDm7CnBvsA5aIs3NU8XJVUZ09k/RwVazy4v0NZ5JyxfpDcRNUzkSZXpZH5z8riIXE&#10;6dH5cQh1ikSbInk2KUQaZRiijkP0nNEQkTMa4n4cohU+vBfYhZANMyZtIhKyPZzUDiLOhyYC3zwn&#10;n6ZWiOorRps5liw0Q6VcuttYb8QU6+X649R4yqf7iJt/9+/Q0bbEMtWTGpwaNQ6tR7GvchBuLrgD&#10;3dUPndZBAIeH/Z1GdhJhPeJvojyDRTeMBghW2EN9eUY20M5U3P08ClSc6S+GTBkWLAWYgn0K0Os7&#10;iGsYtUfnd+fvAi2zFFbck3+eIFlelMkZxD8ARmx408Cno4emC7aJ3EZG04H2JPY/7XRYxPk5ol7/&#10;eba/AAAA//8DAFBLAwQUAAYACAAAACEAV2wE094AAAAKAQAADwAAAGRycy9kb3ducmV2LnhtbEyP&#10;QUvEMBCF74L/IYzgzU1arSzdposUVBAU3BW8zjbZtthMapNu67939qSn4c083nyv2C6uFyc7hs6T&#10;hmSlQFiqvemo0fCxf7xZgwgRyWDvyWr4sQG25eVFgbnxM73b0y42gkMo5KihjXHIpQx1ax2GlR8s&#10;8e3oR4eR5dhIM+LM4a6XqVL30mFH/KHFwVatrb92k9OgkudP8/qE3Uu1j1PazdW3e6u0vr5aHjYg&#10;ol3inxnO+IwOJTMd/EQmiJ51ou7YqiFLeZ4Naq0yEAfeZLcgy0L+r1D+AgAA//8DAFBLAQItABQA&#10;BgAIAAAAIQC2gziS/gAAAOEBAAATAAAAAAAAAAAAAAAAAAAAAABbQ29udGVudF9UeXBlc10ueG1s&#10;UEsBAi0AFAAGAAgAAAAhADj9If/WAAAAlAEAAAsAAAAAAAAAAAAAAAAALwEAAF9yZWxzLy5yZWxz&#10;UEsBAi0AFAAGAAgAAAAhAEfr7h4kAgAAwQQAAA4AAAAAAAAAAAAAAAAALgIAAGRycy9lMm9Eb2Mu&#10;eG1sUEsBAi0AFAAGAAgAAAAhAFdsBNPeAAAACgEAAA8AAAAAAAAAAAAAAAAAfgQAAGRycy9kb3du&#10;cmV2LnhtbFBLBQYAAAAABAAEAPMAAACJBQAAAAA=&#10;" path="m6160008,l,,,18287r6160008,l6160008,xe" fillcolor="black" stroked="f">
                <v:path arrowok="t"/>
                <w10:wrap type="topAndBottom" anchorx="page"/>
              </v:shape>
            </w:pict>
          </mc:Fallback>
        </mc:AlternateContent>
      </w:r>
      <w:r>
        <w:rPr>
          <w:spacing w:val="-2"/>
        </w:rPr>
        <w:t>ABSTRACT</w:t>
      </w:r>
    </w:p>
    <w:p w14:paraId="79A9C1B0" w14:textId="0F31C669" w:rsidR="00D20F93" w:rsidRDefault="00D20F93" w:rsidP="001E768A">
      <w:pPr>
        <w:pStyle w:val="BodyText"/>
        <w:spacing w:line="360" w:lineRule="auto"/>
        <w:ind w:right="137"/>
      </w:pPr>
      <w:r w:rsidRPr="00D20F93">
        <w:t xml:space="preserve">This article examines how artificial intelligence-enabled smart manufacturing systems transform industrial productivity, engineering coordination, sustainability performance, and socio-economic development. Using a comparative engineering systems analysis of Germany’s Industrie 4.0 model and South Korea’s AI autonomous manufacturing model, the study argues that smart manufacturing is not merely a technological modernization process but a socio-technical transformation shaped by engineering architectures, institutional coordination, industrial policy, and sustainability governance. Germany represents a standards-oriented cyber-physical manufacturing model grounded in interoperability, industrial data spaces, digital twins, Mittelstand upgrading, and platform-based engineering governance. South Korea represents a state-coordinated AI manufacturing model emphasizing robotics, manufacturing data infrastructure, AI vouchers, autonomous factories, SME digitalization, and industrial productivity. The comparison reveals that Germany’s model produces strong interoperability and engineering reliability but faces diffusion constraints among small and medium-sized firms. South Korea’s model accelerates adoption through coordinated public investment and targeted industrial support but must manage data governance, workforce transition, and technological dependency risks. The findings identify three causal mechanisms linking science, engineering, </w:t>
      </w:r>
      <w:r w:rsidRPr="00D20F93">
        <w:lastRenderedPageBreak/>
        <w:t>technological systems, and sustainable development: cyber-physical integration, institutional interoperability, and AI-enabled resource optimization. The article contributes to smart manufacturing and engineering governance scholarship by developing a comparative model connecting engineering design, technological implementation, industrial innovation, and sustainable socio-economic resilience.</w:t>
      </w:r>
    </w:p>
    <w:p w14:paraId="20DD9817" w14:textId="3AB84268" w:rsidR="00CA0D37" w:rsidRPr="00D20F93" w:rsidRDefault="00BE4D62" w:rsidP="001E768A">
      <w:pPr>
        <w:pStyle w:val="BodyText"/>
        <w:spacing w:before="235" w:line="360" w:lineRule="auto"/>
        <w:ind w:right="139"/>
        <w:rPr>
          <w:bCs/>
        </w:rPr>
      </w:pPr>
      <w:r>
        <w:rPr>
          <w:b/>
          <w:spacing w:val="-4"/>
        </w:rPr>
        <w:t>Keywords:</w:t>
      </w:r>
      <w:r>
        <w:rPr>
          <w:b/>
          <w:spacing w:val="-10"/>
        </w:rPr>
        <w:t xml:space="preserve"> </w:t>
      </w:r>
      <w:r w:rsidR="00D20F93" w:rsidRPr="00D20F93">
        <w:rPr>
          <w:bCs/>
          <w:spacing w:val="-10"/>
        </w:rPr>
        <w:t>smart manufacturing; artificial intelligence; Industry 4.0; autonomous manufacturing; digital twins; cyber-physical systems; sustainable engineering; Germany; South Korea; industrial transformation; technological governance</w:t>
      </w:r>
    </w:p>
    <w:p w14:paraId="702069BE" w14:textId="77777777" w:rsidR="00CA0D37" w:rsidRDefault="00CA0D37" w:rsidP="001E768A">
      <w:pPr>
        <w:pStyle w:val="BodyText"/>
        <w:spacing w:before="100" w:line="360" w:lineRule="auto"/>
        <w:ind w:left="0"/>
        <w:jc w:val="left"/>
      </w:pPr>
    </w:p>
    <w:p w14:paraId="2685917D" w14:textId="77777777" w:rsidR="00CA0D37" w:rsidRDefault="00BE4D62" w:rsidP="001E768A">
      <w:pPr>
        <w:pStyle w:val="Heading1"/>
        <w:spacing w:line="360" w:lineRule="auto"/>
      </w:pPr>
      <w:r>
        <w:rPr>
          <w:spacing w:val="-2"/>
          <w:w w:val="105"/>
        </w:rPr>
        <w:t>INTRODUCTION</w:t>
      </w:r>
    </w:p>
    <w:p w14:paraId="36AD52D8" w14:textId="678587B4" w:rsidR="00D20F93" w:rsidRPr="00D20F93" w:rsidRDefault="00D20F93" w:rsidP="001E768A">
      <w:pPr>
        <w:pStyle w:val="BodyText"/>
        <w:spacing w:before="261" w:line="360" w:lineRule="auto"/>
        <w:ind w:right="136"/>
        <w:rPr>
          <w:spacing w:val="-2"/>
        </w:rPr>
      </w:pPr>
      <w:r>
        <w:rPr>
          <w:spacing w:val="-2"/>
        </w:rPr>
        <w:tab/>
      </w:r>
      <w:r>
        <w:rPr>
          <w:spacing w:val="-2"/>
        </w:rPr>
        <w:tab/>
      </w:r>
      <w:r w:rsidRPr="00D20F93">
        <w:rPr>
          <w:lang w:val="en-GB"/>
        </w:rPr>
        <w:t>Manufacturing systems are undergoing a structural transformation driven by artificial intelligence, cyber-physical systems, robotics, industrial internet of things, digital twins, edge-cloud computing, advanced sensors, additive manufacturing, and data-driven optimization. These technologies are not isolated tools but interconnected engineering systems that reshape production architecture, maintenance regimes, energy use, supply-chain coordination, labor organization, and innovation ecosystems. The transition from conventional automation to AI-enabled smart manufacturing has therefore become a major scientific, engineering, industrial, and policy challenge. It requires not only improved algorithms or machines but also interoperable standards, institutional governance, workforce capabilities, cybersecurity safeguards, sustainability metrics, and industrial coordination.</w:t>
      </w:r>
    </w:p>
    <w:p w14:paraId="324FE9CF" w14:textId="77777777" w:rsidR="00D20F93" w:rsidRPr="00D20F93" w:rsidRDefault="00D20F93" w:rsidP="001E768A">
      <w:pPr>
        <w:pStyle w:val="BodyText"/>
        <w:spacing w:before="261" w:line="360" w:lineRule="auto"/>
        <w:ind w:right="136"/>
        <w:rPr>
          <w:lang w:val="en-GB"/>
        </w:rPr>
      </w:pPr>
      <w:r w:rsidRPr="00D20F93">
        <w:rPr>
          <w:lang w:val="en-GB"/>
        </w:rPr>
        <w:t>This study argues that AI-enabled smart manufacturing should be analyzed as a socio-technical engineering system in which scientific principles, industrial architectures, digital infrastructures, and governance arrangements interact to produce industrial and sustainability outcomes. The central question is not whether artificial intelligence increases manufacturing efficiency in abstract terms, but under what engineering and institutional conditions AI-enabled manufacturing systems generate reliable productivity gains, resource efficiency, innovation capacity, and socio-economic resilience. Manufacturing remains central to national development because it links technological capability, export competitiveness, skilled employment, energy use, material flows, regional industrial ecosystems, and innovation diffusion. Smart manufacturing is therefore not merely an industrial technology; it is a developmental infrastructure.</w:t>
      </w:r>
    </w:p>
    <w:p w14:paraId="3EC96CA9" w14:textId="77777777" w:rsidR="00D20F93" w:rsidRPr="00D20F93" w:rsidRDefault="00D20F93" w:rsidP="001E768A">
      <w:pPr>
        <w:pStyle w:val="BodyText"/>
        <w:spacing w:before="261" w:line="360" w:lineRule="auto"/>
        <w:ind w:right="136"/>
        <w:rPr>
          <w:lang w:val="en-GB"/>
        </w:rPr>
      </w:pPr>
      <w:r w:rsidRPr="00D20F93">
        <w:rPr>
          <w:lang w:val="en-GB"/>
        </w:rPr>
        <w:t>Global evidence confirms the acceleration of industrial digital transformation. The International Federation of Robotics reported that global average robot density reached 162 robots per 10,000 manufacturing employees in 2023, more than double the level recorded seven years earlier. South Korea remained the global leader in robot density, while Germany remained among the most robot-intensive industrial economies. These indicators show that advanced manufacturing competitiveness is increasingly shaped by automation intensity, robotics integration, and the capacity to combine physical production with digital intelligence. At the same time, the International Energy Agency emphasizes that industrial technology transitions are deeply connected to energy systems, clean technology supply chains, trade, and climate mitigation (IEA, 2024). The engineering challenge is therefore dual: manufacturing systems must become more intelligent and more sustainable.</w:t>
      </w:r>
    </w:p>
    <w:p w14:paraId="505A6DA7" w14:textId="77777777" w:rsidR="00D20F93" w:rsidRPr="00D20F93" w:rsidRDefault="00D20F93" w:rsidP="001E768A">
      <w:pPr>
        <w:pStyle w:val="BodyText"/>
        <w:spacing w:before="261" w:line="360" w:lineRule="auto"/>
        <w:ind w:right="136"/>
        <w:rPr>
          <w:lang w:val="en-GB"/>
        </w:rPr>
      </w:pPr>
      <w:r w:rsidRPr="00D20F93">
        <w:rPr>
          <w:lang w:val="en-GB"/>
        </w:rPr>
        <w:lastRenderedPageBreak/>
        <w:t xml:space="preserve">Germany and South Korea are analytically significant comparative cases because both are advanced manufacturing economies with strong engineering traditions, export-oriented industrial structures, high levels of automation, and active smart manufacturing strategies. Yet their approaches to smart manufacturing differ substantially. Germany’s Industrie 4.0 model emerged from a standards-oriented engineering tradition emphasizing cyber-physical production systems, industrial interoperability, decentralized automation, digital twins, human-machine collaboration, and platform-based governance. The German Industrie 4.0 vision presents digital ecosystems as a holistic architecture for future industrial value creation, while recent German work on digital twin reference models emphasizes standardization as a condition for smart manufacturing diffusion. </w:t>
      </w:r>
    </w:p>
    <w:p w14:paraId="382D8CD7" w14:textId="77777777" w:rsidR="00D20F93" w:rsidRPr="00D20F93" w:rsidRDefault="00D20F93" w:rsidP="001E768A">
      <w:pPr>
        <w:pStyle w:val="BodyText"/>
        <w:spacing w:before="261" w:line="360" w:lineRule="auto"/>
        <w:ind w:right="136"/>
        <w:rPr>
          <w:lang w:val="en-GB"/>
        </w:rPr>
      </w:pPr>
      <w:r w:rsidRPr="00D20F93">
        <w:rPr>
          <w:lang w:val="en-GB"/>
        </w:rPr>
        <w:t xml:space="preserve">South Korea’s model has evolved toward AI autonomous manufacturing through coordinated industrial policy, robotics, SME smart factory programs, manufacturing data platforms, AI vouchers, and national digital transformation initiatives. Recent Korean policy materials indicate that manufacturing innovation for SMEs is being accelerated through AI transformation and digital transformation, including manufacturing robots, data-driven smart factories, and autonomous factories using digital twins. OECD analysis of Korea also notes customized support for digital manufacturing innovation among 25,000 small and medium-sized manufacturers by 2027, reflecting a strong public-private effort to advance smart factories (OECD, 2024). </w:t>
      </w:r>
    </w:p>
    <w:p w14:paraId="4680E088" w14:textId="77777777" w:rsidR="00D20F93" w:rsidRPr="00D20F93" w:rsidRDefault="00D20F93" w:rsidP="001E768A">
      <w:pPr>
        <w:pStyle w:val="BodyText"/>
        <w:spacing w:before="261" w:line="360" w:lineRule="auto"/>
        <w:ind w:right="136"/>
        <w:rPr>
          <w:lang w:val="en-GB"/>
        </w:rPr>
      </w:pPr>
      <w:r w:rsidRPr="00D20F93">
        <w:rPr>
          <w:lang w:val="en-GB"/>
        </w:rPr>
        <w:t>The academic and policy problem is that smart manufacturing scholarship often remains fragmented between technical optimization studies, industrial policy analysis, and sustainability research. Engineering studies frequently focus on algorithms, sensors, robotics, predictive maintenance, and digital twins without sufficiently analyzing the institutional conditions required for diffusion. Innovation policy studies examine national industrial strategies but often under-specify the engineering mechanisms through which policy affects factory-level performance. Sustainability studies emphasize resource efficiency and decarbonization but often lack detailed analysis of cyber-physical architectures and AI-enabled control systems. As a result, current scholarship does not adequately explain how engineering design, technological governance, institutional coordination, and sustainability performance interact.</w:t>
      </w:r>
    </w:p>
    <w:p w14:paraId="5932A5BC" w14:textId="77777777" w:rsidR="00D20F93" w:rsidRPr="00D20F93" w:rsidRDefault="00D20F93" w:rsidP="001E768A">
      <w:pPr>
        <w:pStyle w:val="BodyText"/>
        <w:spacing w:before="261" w:line="360" w:lineRule="auto"/>
        <w:ind w:right="136"/>
        <w:rPr>
          <w:lang w:val="en-GB"/>
        </w:rPr>
      </w:pPr>
      <w:r w:rsidRPr="00D20F93">
        <w:rPr>
          <w:lang w:val="en-GB"/>
        </w:rPr>
        <w:t>The scientific foundation of smart manufacturing lies in systems engineering, control theory, data science, operations research, and industrial ecology. Cyber-physical production systems connect physical machinery with embedded computation and networked communication, enabling real-time monitoring and adaptive control (Lee et al., 2015). Digital twins create dynamic virtual representations of physical assets, processes, or systems, supporting simulation, predictive maintenance, optimization, and lifecycle analysis (Tao et al., 2019; Fuller et al., 2020). AI-enabled analytics improve anomaly detection, scheduling, quality prediction, energy management, and supply-chain responsiveness (Wuest et al., 2016; Javaid et al., 2022). Industrial internet of things architectures provide the sensing and communication infrastructure through which machines, materials, operators, and enterprise systems exchange operational data (Xu et al., 2018). These scientific and engineering principles show that smart manufacturing is fundamentally an integration problem.</w:t>
      </w:r>
    </w:p>
    <w:p w14:paraId="070CFF75" w14:textId="77777777" w:rsidR="00D20F93" w:rsidRPr="00D20F93" w:rsidRDefault="00D20F93" w:rsidP="001E768A">
      <w:pPr>
        <w:pStyle w:val="BodyText"/>
        <w:spacing w:before="261" w:line="360" w:lineRule="auto"/>
        <w:ind w:right="136"/>
        <w:rPr>
          <w:lang w:val="en-GB"/>
        </w:rPr>
      </w:pPr>
      <w:r w:rsidRPr="00D20F93">
        <w:rPr>
          <w:lang w:val="en-GB"/>
        </w:rPr>
        <w:t xml:space="preserve">While previous studies emphasize the technical architecture of Industry 4.0, other scholars argue that </w:t>
      </w:r>
      <w:r w:rsidRPr="00D20F93">
        <w:rPr>
          <w:lang w:val="en-GB"/>
        </w:rPr>
        <w:lastRenderedPageBreak/>
        <w:t>industrial transformation depends on socio-technical alignment. Geels (2020) demonstrates that sustainability transitions involve interactions among technology, institutions, markets, user practices, and policy regimes. Kitchin (2021) argues that data-driven systems are embedded in governance arrangements, standards, and political-economic structures. Lasi et al. (2014) and Kagermann et al. (2013) conceptualize Industrie 4.0 as a shift toward decentralized, connected, and intelligent production systems. However, current scholarship fails to explain sufficiently why some smart manufacturing strategies diffuse through standards and industrial ecosystems, while others diffuse through state-led adoption programs and targeted digital transformation policies.</w:t>
      </w:r>
    </w:p>
    <w:p w14:paraId="18B0DD09" w14:textId="77777777" w:rsidR="00D20F93" w:rsidRPr="00D20F93" w:rsidRDefault="00D20F93" w:rsidP="001E768A">
      <w:pPr>
        <w:pStyle w:val="BodyText"/>
        <w:spacing w:before="261" w:line="360" w:lineRule="auto"/>
        <w:ind w:right="136"/>
        <w:rPr>
          <w:lang w:val="en-GB"/>
        </w:rPr>
      </w:pPr>
      <w:r w:rsidRPr="00D20F93">
        <w:rPr>
          <w:lang w:val="en-GB"/>
        </w:rPr>
        <w:t>The sustainability literature also remains incomplete. Studies show that Industry 4.0 technologies can improve material efficiency, energy optimization, waste reduction, predictive maintenance, and circular manufacturing when properly integrated (Stock &amp; Seliger, 2016; Ghobakhloo, 2020; Khan et al., 2025). Yet the environmental effects of digitalization are not automatically positive. AI systems, cloud computing, sensors, data centers, and connected infrastructures consume energy, require rare materials, and introduce cybersecurity risks. The IEA notes that digitalization can improve energy efficiency and resilience but also creates new security, privacy, and demand-management challenges (IEA, 2017; IEA, 2024). Therefore, AI-enabled manufacturing should be evaluated through net systems performance rather than isolated technological capability.</w:t>
      </w:r>
    </w:p>
    <w:p w14:paraId="541C5838" w14:textId="77777777" w:rsidR="00D20F93" w:rsidRPr="00D20F93" w:rsidRDefault="00D20F93" w:rsidP="001E768A">
      <w:pPr>
        <w:pStyle w:val="BodyText"/>
        <w:spacing w:before="261" w:line="360" w:lineRule="auto"/>
        <w:ind w:right="136"/>
        <w:rPr>
          <w:lang w:val="en-GB"/>
        </w:rPr>
      </w:pPr>
      <w:r w:rsidRPr="00D20F93">
        <w:rPr>
          <w:lang w:val="en-GB"/>
        </w:rPr>
        <w:t>Existing literature remains limited in six major respects. First, there is a theoretical gap in explaining smart manufacturing as an interaction between engineering systems and institutional governance. Second, there is an empirical gap in comparing leading manufacturing economies using both technological and governance variables. Third, there is a comparative gap because Germany and South Korea are often studied separately despite their strong relevance as contrasting advanced manufacturing models. Fourth, there is a technological governance gap in understanding how standards, public programs, data infrastructure, and industrial policy shape factory-level implementation. Fifth, there is an industrial implementation gap in explaining why SMEs often lag behind large firms in smart manufacturing adoption. Sixth, there is a sustainability and innovation-policy gap in linking AI-enabled production to energy efficiency, carbon reduction, workforce transformation, and regional economic resilience.</w:t>
      </w:r>
    </w:p>
    <w:p w14:paraId="5E712DCA" w14:textId="77777777" w:rsidR="00D20F93" w:rsidRPr="00D20F93" w:rsidRDefault="00D20F93" w:rsidP="001E768A">
      <w:pPr>
        <w:pStyle w:val="BodyText"/>
        <w:spacing w:before="261" w:line="360" w:lineRule="auto"/>
        <w:ind w:right="136"/>
        <w:rPr>
          <w:lang w:val="en-GB"/>
        </w:rPr>
      </w:pPr>
      <w:r w:rsidRPr="00D20F93">
        <w:rPr>
          <w:lang w:val="en-GB"/>
        </w:rPr>
        <w:t>This article addresses these gaps by developing a comparative engineering systems analysis of Germany’s Industrie 4.0 model and South Korea’s AI autonomous manufacturing model. The novelty of the article lies in its integration of four analytical dimensions: cyber-physical engineering architecture, AI-enabled industrial optimization, technological governance, and sustainable socio-economic development. Unlike studies that treat smart manufacturing as a technical phenomenon alone, this article argues that engineering performance depends on governance capacity. Unlike policy studies that emphasize national strategies alone, this article identifies the causal technological mechanisms through which policy affects industrial outcomes. Unlike sustainability studies that assume digitalization is inherently beneficial, this article examines the conditions under which AI-enabled manufacturing improves resource efficiency and resilience.</w:t>
      </w:r>
    </w:p>
    <w:p w14:paraId="36F6893B" w14:textId="77777777" w:rsidR="00D20F93" w:rsidRPr="00D20F93" w:rsidRDefault="00D20F93" w:rsidP="001E768A">
      <w:pPr>
        <w:pStyle w:val="BodyText"/>
        <w:spacing w:before="261" w:line="360" w:lineRule="auto"/>
        <w:ind w:right="136"/>
        <w:rPr>
          <w:lang w:val="en-GB"/>
        </w:rPr>
      </w:pPr>
      <w:r w:rsidRPr="00D20F93">
        <w:rPr>
          <w:lang w:val="en-GB"/>
        </w:rPr>
        <w:lastRenderedPageBreak/>
        <w:t xml:space="preserve">The analytical framework developed here links engineering governance to sustainable industrial development through the following causal sequence: </w:t>
      </w:r>
      <w:r w:rsidRPr="00D20F93">
        <w:rPr>
          <w:b/>
          <w:bCs/>
          <w:lang w:val="en-GB"/>
        </w:rPr>
        <w:t>engineering governance → technological integration → industrial optimization → sustainability performance → socio-economic resilience</w:t>
      </w:r>
      <w:r w:rsidRPr="00D20F93">
        <w:rPr>
          <w:lang w:val="en-GB"/>
        </w:rPr>
        <w:t>. Engineering governance includes standards, data governance, interoperability rules, industrial policy, funding mechanisms, cybersecurity frameworks, and workforce programs. Technological integration refers to the combination of sensors, robotics, digital twins, AI models, industrial networks, and enterprise systems. Industrial optimization includes predictive maintenance, adaptive scheduling, quality control, energy management, and supply-chain coordination. Sustainability performance includes reductions in material waste, downtime, energy intensity, and emissions. Socio-economic resilience includes productivity, SME upgrading, skilled employment, regional competitiveness, and industrial adaptability.</w:t>
      </w:r>
    </w:p>
    <w:p w14:paraId="2AFB7706" w14:textId="77777777" w:rsidR="00D20F93" w:rsidRPr="00D20F93" w:rsidRDefault="00D20F93" w:rsidP="001E768A">
      <w:pPr>
        <w:pStyle w:val="BodyText"/>
        <w:spacing w:before="261" w:line="360" w:lineRule="auto"/>
        <w:ind w:right="136"/>
        <w:rPr>
          <w:lang w:val="en-GB"/>
        </w:rPr>
      </w:pPr>
      <w:r w:rsidRPr="00D20F93">
        <w:rPr>
          <w:lang w:val="en-GB"/>
        </w:rPr>
        <w:t>The research objective is to explain how Germany and South Korea’s contrasting smart manufacturing models shape AI-enabled engineering implementation and to identify the causal mechanisms through which technological governance affects industrial performance, sustainability outcomes, and socio-economic development.</w:t>
      </w:r>
    </w:p>
    <w:p w14:paraId="0734A830" w14:textId="77777777" w:rsidR="00D20F93" w:rsidRDefault="00D20F93" w:rsidP="001E768A">
      <w:pPr>
        <w:pStyle w:val="BodyText"/>
        <w:spacing w:before="261" w:line="360" w:lineRule="auto"/>
        <w:ind w:right="136"/>
      </w:pPr>
    </w:p>
    <w:p w14:paraId="47CB8D02" w14:textId="77777777" w:rsidR="00CA0D37" w:rsidRDefault="00CA0D37" w:rsidP="001E768A">
      <w:pPr>
        <w:pStyle w:val="BodyText"/>
        <w:spacing w:before="104" w:line="360" w:lineRule="auto"/>
        <w:ind w:left="0"/>
        <w:jc w:val="left"/>
        <w:rPr>
          <w:i/>
        </w:rPr>
      </w:pPr>
    </w:p>
    <w:p w14:paraId="66ED6868" w14:textId="77777777" w:rsidR="00CA0D37" w:rsidRDefault="00BE4D62" w:rsidP="001E768A">
      <w:pPr>
        <w:pStyle w:val="Heading1"/>
        <w:spacing w:line="360" w:lineRule="auto"/>
      </w:pPr>
      <w:r>
        <w:rPr>
          <w:spacing w:val="-2"/>
        </w:rPr>
        <w:t>METHODOLOGY</w:t>
      </w:r>
    </w:p>
    <w:p w14:paraId="2B650EA1" w14:textId="1C50D091" w:rsidR="00D5285D" w:rsidRPr="00D5285D" w:rsidRDefault="00D5285D" w:rsidP="001E768A">
      <w:pPr>
        <w:pStyle w:val="BodyText"/>
        <w:spacing w:before="236" w:line="360" w:lineRule="auto"/>
        <w:ind w:right="136"/>
        <w:rPr>
          <w:spacing w:val="-6"/>
        </w:rPr>
      </w:pPr>
      <w:r>
        <w:rPr>
          <w:spacing w:val="-6"/>
        </w:rPr>
        <w:tab/>
      </w:r>
      <w:r>
        <w:rPr>
          <w:spacing w:val="-6"/>
        </w:rPr>
        <w:tab/>
      </w:r>
      <w:r w:rsidRPr="00D5285D">
        <w:rPr>
          <w:rFonts w:eastAsia="Book Antiqua"/>
          <w:color w:val="111111"/>
          <w:highlight w:val="white"/>
          <w:lang w:val="en-GB"/>
        </w:rPr>
        <w:t>This study employs comparative engineering systems analysis combined with socio-technical systems analysis, technological governance analysis, and sustainability impact interpretation. The research design follows a most-similar but institutionally divergent comparative logic: Germany and South Korea are both advanced manufacturing economies with high automation intensity, strong engineering capabilities, export-oriented industrial systems, and explicit smart manufacturing strategies, yet they differ in governance architecture, standardization strategy, SME support mechanisms, industrial policy style, and data infrastructure orientation. Germany is selected as a standards-oriented Industrie 4.0 case emphasizing cyber-physical production systems, interoperability, reference architectures, digital twins, industrial data spaces, and distributed coordination among firms, research institutes, standardization bodies, and public agencies. South Korea is selected as a state-coordinated AI autonomous manufacturing case emphasizing robotics, AI infrastructure, smart factory diffusion, SME support, digital manufacturing platforms, AI vouchers, and public-private industrial transformation. The unit of analysis is the national smart manufacturing system, understood as the configuration of engineering architectures, data infrastructures, industrial institutions, regulatory mechanisms, and firm-level implementation pathways through which AI-enabled manufacturing technologies are adopted and operationalized.</w:t>
      </w:r>
    </w:p>
    <w:p w14:paraId="5EEEEFCF" w14:textId="2B306A35"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The empirical basis consists of international robotics data, IEA energy technology reports, OECD economic and SME digitalization analyses, German Industrie 4.0 policy documents, South Korean manufacturing innovation policy documents, government science and technology materials, industrial reports, and peer-reviewed literature on cyber-physical systems, digital twins, AI manufacturing, </w:t>
      </w:r>
      <w:r w:rsidRPr="00D5285D">
        <w:rPr>
          <w:rFonts w:eastAsia="Book Antiqua"/>
          <w:color w:val="111111"/>
          <w:highlight w:val="white"/>
          <w:lang w:val="en-GB"/>
        </w:rPr>
        <w:lastRenderedPageBreak/>
        <w:t>sustainability transitions, and innovation systems. The analysis applies structured focused comparison across technological variables including automation intensity, cyber-physical integration, digital twin architecture, robotics deployment, AI-enabled optimization, SME diffusion, interoperability standards, data governance, workforce capability, and sustainability integration. Process tracing is used to identify causal mechanisms connecting engineering governance to industrial outcomes, while reliability is strengthened through triangulation across public datasets, institutional documents, and scientific literature. No interview data are used, and no fabricated industrial observations are introduced. Ethical and sustainability considerations concern responsible interpretation of public data, avoidance of deterministic claims about AI performance, recognition of labor transition effects, cybersecurity risks, environmental trade-offs, and the limitations of comparing national systems whose firm-level implementation varies across sectors. The study is limited by uneven availability of comparable factory-level performance data and by the rapid evolution of AI manufacturing technologies, but it provides a rigorous analytical framework for linking engineering systems with institutional and developmental outcomes.</w:t>
      </w:r>
    </w:p>
    <w:p w14:paraId="0F72B051" w14:textId="77777777" w:rsidR="00D5285D" w:rsidRPr="00D5285D" w:rsidRDefault="00BE4D62"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pict w14:anchorId="1138BF0D">
          <v:rect id="_x0000_i1025" style="width:0;height:1.5pt" o:hralign="center" o:hrstd="t" o:hr="t" fillcolor="#a0a0a0" stroked="f"/>
        </w:pict>
      </w:r>
    </w:p>
    <w:p w14:paraId="3DE2DE48" w14:textId="77777777" w:rsidR="00D5285D" w:rsidRPr="00D5285D" w:rsidRDefault="00D5285D" w:rsidP="001E768A">
      <w:pPr>
        <w:pStyle w:val="BodyText"/>
        <w:spacing w:before="236" w:line="360" w:lineRule="auto"/>
        <w:ind w:right="136"/>
        <w:rPr>
          <w:rFonts w:eastAsia="Book Antiqua"/>
          <w:b/>
          <w:bCs/>
          <w:color w:val="111111"/>
          <w:highlight w:val="white"/>
          <w:lang w:val="en-GB"/>
        </w:rPr>
      </w:pPr>
      <w:r w:rsidRPr="00D5285D">
        <w:rPr>
          <w:rFonts w:eastAsia="Book Antiqua"/>
          <w:b/>
          <w:bCs/>
          <w:color w:val="111111"/>
          <w:highlight w:val="white"/>
          <w:lang w:val="en-GB"/>
        </w:rPr>
        <w:t>Findings and Discussion</w:t>
      </w:r>
    </w:p>
    <w:p w14:paraId="4376353E" w14:textId="77777777" w:rsidR="00D5285D" w:rsidRPr="00D5285D" w:rsidRDefault="00D5285D" w:rsidP="001E768A">
      <w:pPr>
        <w:pStyle w:val="BodyText"/>
        <w:spacing w:before="236" w:line="360" w:lineRule="auto"/>
        <w:ind w:right="136"/>
        <w:rPr>
          <w:rFonts w:eastAsia="Book Antiqua"/>
          <w:b/>
          <w:bCs/>
          <w:color w:val="111111"/>
          <w:highlight w:val="white"/>
          <w:lang w:val="en-GB"/>
        </w:rPr>
      </w:pPr>
      <w:r w:rsidRPr="00D5285D">
        <w:rPr>
          <w:rFonts w:eastAsia="Book Antiqua"/>
          <w:b/>
          <w:bCs/>
          <w:color w:val="111111"/>
          <w:highlight w:val="white"/>
          <w:lang w:val="en-GB"/>
        </w:rPr>
        <w:t>1. Engineering Architecture and Cyber-Physical Integration</w:t>
      </w:r>
    </w:p>
    <w:p w14:paraId="28E55122" w14:textId="4375D55E"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first finding is that Germany and South Korea both pursue smart manufacturing through cyber-physical integration, but they differ in architectural logic. Germany’s Industrie 4.0 model emphasizes modularity, interoperability, industrial standards, and distributed engineering coordination. Its technological architecture is grounded in the integration of physical machines, embedded control systems, sensor networks, enterprise resource planning systems, manufacturing execution systems, digital twins, and industrial data spaces. The engineering logic is that manufacturing intelligence emerges from standardized interconnection across heterogeneous industrial assets.</w:t>
      </w:r>
    </w:p>
    <w:p w14:paraId="00665561" w14:textId="53C7D0C1"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South Korea’s AI autonomous manufacturing model emphasizes accelerated deployment of AI, robotics, manufacturing data infrastructure, and digital transformation among SMEs and strategic industries. Its technological architecture prioritizes robotics density, smart factory diffusion, AI-based process control, manufacturing data collection, digital twin-based autonomous factories, and government-supported AI adoption. Recent Korean policy statements indicate support for manufacturing robots, data-driven smart factories, and autonomous factories using digital twins among more than 1,700 manufacturing SMEs in 2025. OECD analysis further notes Korean plans to provide customized digital manufacturing support to 25,000 SMEs by 2027 (OECD, 2024). </w:t>
      </w:r>
    </w:p>
    <w:p w14:paraId="70E61D69" w14:textId="2AB1F06F"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The technological difference is not simply one of maturity but one of systems philosophy. Germany’s model is standards-first: it seeks to create interoperable reference architectures through which firms can integrate technologies reliably across complex value chains. South Korea’s model is adoption-first: it seeks to accelerate factory-level transformation through targeted programs, AI infrastructure, robotics, and </w:t>
      </w:r>
      <w:r w:rsidRPr="00D5285D">
        <w:rPr>
          <w:rFonts w:eastAsia="Book Antiqua"/>
          <w:color w:val="111111"/>
          <w:highlight w:val="white"/>
          <w:lang w:val="en-GB"/>
        </w:rPr>
        <w:lastRenderedPageBreak/>
        <w:t>public-private implementation support. Germany prioritizes engineering reliability and cross-firm compatibility; South Korea prioritizes speed, scale, and applied productivity gains.</w:t>
      </w:r>
    </w:p>
    <w:p w14:paraId="470347AC" w14:textId="451746F8"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empirical evidence from robotics reinforces the comparison. South Korea remains the world leader in robot density, with Reuters reporting 1,012 robots per 10,000 manufacturing employees in 2023, while Germany remained among the global leaders with 429 robots per 10,000 employees. These figures demonstrate South Korea’s exceptionally high automation intensity and Germany’s continued strength as a highly automated European manufacturing economy. However, robot density alone does not capture smart manufacturing capability. A factory may have many robots but limited data interoperability; conversely, a factory may have advanced digital integration with fewer robots. Therefore, the comparison must examine cyber-physical integration rather than automation intensity alone.</w:t>
      </w:r>
    </w:p>
    <w:p w14:paraId="63E16361" w14:textId="1214E03D"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From an engineering systems perspective, Germany’s approach aligns with the principle that complex industrial systems require interface standardization to reduce integration cost and improve scalability. Digital twins, asset administration shells, and industrial communication standards allow machines, products, and services to exchange data across lifecycle stages. This is particularly important in Germany’s industrial structure, where specialized machinery producers, automotive suppliers, chemical manufacturers, and Mittelstand firms participate in dense value networks. Interoperability is not an abstract policy preference; it is an engineering requirement for multi-firm production ecosystems.</w:t>
      </w:r>
    </w:p>
    <w:p w14:paraId="58AE6E88" w14:textId="6D8E2531"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South Korea’s approach reflects a different engineering problem: rapid upgrading of manufacturing capability in a context of demographic pressure, global competition, and strategic industrial restructuring. AI autonomous manufacturing is designed to address productivity, workforce shortages, quality control, industrial safety, and carbon reduction. Korean policy announcements explicitly link AI manufacturing pilots to productivity improvement, population decline, and carbon reduction. The causal mechanism is direct technological upgrading: sensors generate data, AI models detect patterns, robots execute tasks, digital twins simulate processes, and autonomous control systems optimize operations.</w:t>
      </w:r>
    </w:p>
    <w:p w14:paraId="36D33FA2" w14:textId="0647CA4E"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This finding contributes to smart manufacturing theory by showing that cyber-physical integration is mediated by industrial structure. Germany’s distributed supplier networks require interoperability governance, while South Korea’s coordinated industrial policy enables accelerated adoption. Previous studies correctly emphasize the importance of cyber-physical systems (Lee et al., 2015; Xu et al., 2018), but they often understate how national industrial institutions shape engineering architectures. The evidence suggests that technical design and institutional structure co-evolve.</w:t>
      </w:r>
    </w:p>
    <w:p w14:paraId="613CF6BA" w14:textId="36F47153"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The technological implication is that smart manufacturing performance depends on architectural coherence. Firms cannot achieve AI-enabled optimization by deploying disconnected robots, sensors, or analytics platforms. They need interoperable data models, real-time communication, cybersecurity, simulation capacity, and human-machine interfaces. The governance implication is that public policy should support not only technology purchase but also integration standards, data quality, engineering skills, and lifecycle management. The development implication is that countries seeking manufacturing upgrading must </w:t>
      </w:r>
      <w:r w:rsidRPr="00D5285D">
        <w:rPr>
          <w:rFonts w:eastAsia="Book Antiqua"/>
          <w:color w:val="111111"/>
          <w:highlight w:val="white"/>
          <w:lang w:val="en-GB"/>
        </w:rPr>
        <w:lastRenderedPageBreak/>
        <w:t>treat smart manufacturing as a systems integration challenge rather than a subsidy program for isolated equipment adoption.</w:t>
      </w:r>
    </w:p>
    <w:p w14:paraId="7AD22558" w14:textId="77777777" w:rsidR="00D5285D" w:rsidRPr="00D5285D" w:rsidRDefault="00D5285D" w:rsidP="001E768A">
      <w:pPr>
        <w:pStyle w:val="BodyText"/>
        <w:spacing w:before="236" w:line="360" w:lineRule="auto"/>
        <w:ind w:right="136"/>
        <w:rPr>
          <w:rFonts w:eastAsia="Book Antiqua"/>
          <w:b/>
          <w:bCs/>
          <w:color w:val="111111"/>
          <w:highlight w:val="white"/>
          <w:lang w:val="en-GB"/>
        </w:rPr>
      </w:pPr>
      <w:r w:rsidRPr="00D5285D">
        <w:rPr>
          <w:rFonts w:eastAsia="Book Antiqua"/>
          <w:b/>
          <w:bCs/>
          <w:color w:val="111111"/>
          <w:highlight w:val="white"/>
          <w:lang w:val="en-GB"/>
        </w:rPr>
        <w:t>2. Digital Twins, Industrial Data Infrastructure, and AI-Enabled Optimization</w:t>
      </w:r>
    </w:p>
    <w:p w14:paraId="6AEF90C2" w14:textId="21A83B74"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second finding concerns the role of digital twins and industrial data infrastructure as enabling mechanisms for AI manufacturing. Digital twins are central to both German and Korean models, but their institutional function differs. In Germany, digital twins are closely linked to standardization, lifecycle engineering, and interoperability across industrial ecosystems. The German Industrie 4.0 platform’s 2024 paper on digital twin reference models emphasizes standardization requirements for smart manufacturing and wider application. In South Korea, digital twins are increasingly linked to autonomous factories, AI-based process control, SME digital transformation, and manufacturing data platforms.</w:t>
      </w:r>
    </w:p>
    <w:p w14:paraId="039162FC" w14:textId="158448A8"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Scientifically, digital twins function as dynamic computational models that connect physical systems with virtual representations through sensor data, simulation, and analytics. Their engineering value lies in enabling predictive maintenance, process optimization, anomaly detection, energy management, production planning, and design validation. A digital twin of a production line can simulate throughput under different scheduling rules; a digital twin of a machine tool can estimate wear and predict failure; a digital twin of an energy-intensive process can optimize load profiles. AI models enhance these functions by learning from historical and real-time data.</w:t>
      </w:r>
    </w:p>
    <w:p w14:paraId="7B8EFE70" w14:textId="5BBD0531"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comparison reveals different data governance challenges. Germany’s challenge is federated industrial interoperability. Firms must share or exchange data across value chains while protecting intellectual property, trade secrets, cybersecurity, and competitive autonomy. This has encouraged interest in industrial data spaces, trusted data-sharing architectures, and standardized semantic models. South Korea’s challenge is large-scale manufacturing data mobilization. AI autonomous manufacturing requires sufficient high-quality industrial data to train, validate, and deploy models across factories, especially SMEs that may lack data infrastructure.</w:t>
      </w:r>
    </w:p>
    <w:p w14:paraId="37C404ED" w14:textId="42DD7C97"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causal technological mechanism is data-to-control conversion. Sensors and industrial IoT devices collect operational data; edge and cloud systems process and store data; digital twins simulate system behavior; AI models identify patterns and optimize decisions; control systems implement adaptive actions; feedback loops update models. If any layer is weak, performance gains are constrained. Poor sensor calibration reduces data quality. Fragmented databases prevent model training. Non-standard interfaces increase integration cost. Inadequate cybersecurity creates operational risk. Poor human-machine interface design undermines operator trust.</w:t>
      </w:r>
    </w:p>
    <w:p w14:paraId="75FDC3D9" w14:textId="44C41EE3"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This mechanism helps explain why Germany’s standards orientation and South Korea’s adoption acceleration both have strengths and limitations. Germany’s interoperability approach can reduce long-term integration problems but may slow implementation among SMEs that lack resources to adopt complex reference architectures. South Korea’s programmatic support can accelerate AI deployment but may create </w:t>
      </w:r>
      <w:r w:rsidRPr="00D5285D">
        <w:rPr>
          <w:rFonts w:eastAsia="Book Antiqua"/>
          <w:color w:val="111111"/>
          <w:highlight w:val="white"/>
          <w:lang w:val="en-GB"/>
        </w:rPr>
        <w:lastRenderedPageBreak/>
        <w:t>heterogeneous data quality and dependency on selected platforms or vendors. Thus, the comparison reveals a technological governance trade-off between architectural rigor and deployment speed.</w:t>
      </w:r>
    </w:p>
    <w:p w14:paraId="234F4E2D" w14:textId="1926822B"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sustainability implications are significant. Digital twins and AI optimization can reduce downtime, scrap rates, energy waste, and maintenance-related material consumption. Predictive maintenance extends equipment life and reduces unplanned production disruptions. Process optimization can reduce energy intensity by matching production schedules with equipment efficiency curves or electricity price signals. Quality prediction can reduce defect rates and rework. However, these benefits depend on system-level implementation. If AI systems increase data center energy demand or lead to overproduction through efficiency gains, sustainability benefits may be partially offset.</w:t>
      </w:r>
    </w:p>
    <w:p w14:paraId="3476CF04" w14:textId="74378E10"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IEA emphasizes that digitalization can help reduce costs, improve efficiency, strengthen resilience, and reduce emissions across energy systems, but also introduces cybersecurity, privacy, and demand-management risks (IEA, 2017; IEA, 2024). This is directly relevant to smart manufacturing. AI-enabled factories are energy-consuming digital infrastructures as well as energy-saving optimization systems. Therefore, sustainability assessment must consider net lifecycle effects: equipment production, sensor deployment, cloud computation, operational efficiency, maintenance savings, and emissions reductions.</w:t>
      </w:r>
    </w:p>
    <w:p w14:paraId="4CF0AEE9" w14:textId="6A0527D3"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This finding extends previous digital twin research by embedding digital twins within comparative industrial governance. Fuller et al. (2020) and Tao et al. (2019) explain digital twin architectures, but comparative analysis shows that digital twins perform different institutional roles in different manufacturing systems. In Germany, they support interoperable lifecycle engineering. In South Korea, they support accelerated autonomous factory transformation. The theoretical implication is that digital twins are not merely computational artifacts; they are socio-technical coordination devices.</w:t>
      </w:r>
    </w:p>
    <w:p w14:paraId="4872EE0C" w14:textId="77777777" w:rsidR="00D5285D" w:rsidRPr="00D5285D" w:rsidRDefault="00D5285D" w:rsidP="001E768A">
      <w:pPr>
        <w:pStyle w:val="BodyText"/>
        <w:spacing w:before="236" w:line="360" w:lineRule="auto"/>
        <w:ind w:right="136"/>
        <w:rPr>
          <w:rFonts w:eastAsia="Book Antiqua"/>
          <w:b/>
          <w:bCs/>
          <w:color w:val="111111"/>
          <w:highlight w:val="white"/>
          <w:lang w:val="en-GB"/>
        </w:rPr>
      </w:pPr>
      <w:r w:rsidRPr="00D5285D">
        <w:rPr>
          <w:rFonts w:eastAsia="Book Antiqua"/>
          <w:b/>
          <w:bCs/>
          <w:color w:val="111111"/>
          <w:highlight w:val="white"/>
          <w:lang w:val="en-GB"/>
        </w:rPr>
        <w:t>3. SME Diffusion, Industrial Ecosystems, and Innovation Governance</w:t>
      </w:r>
    </w:p>
    <w:p w14:paraId="7C230E2F" w14:textId="3C26E554"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third finding concerns SME diffusion. Smart manufacturing often advances fastest in large firms with capital resources, data infrastructure, engineering teams, and global supply-chain pressures. Yet national industrial transformation depends heavily on SMEs, especially in countries with dense supplier networks. Germany and South Korea both recognize this problem but address it differently.</w:t>
      </w:r>
    </w:p>
    <w:p w14:paraId="67E41A62" w14:textId="077BC742"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Germany’s industrial ecosystem includes a strong Mittelstand, specialized machinery firms, automotive suppliers, and export-oriented engineering companies. These firms often possess deep process knowledge but may face constraints in digital skills, cybersecurity, software integration, and investment capacity. Industrie 4.0 governance has therefore emphasized platforms, standards, demonstration centers, applied research institutes, and collaborative networks. The German government frames Industrie 4.0 as a means of strengthening the manufacturing base through smart, digital production processes. The diffusion logic is ecosystem learning: firms upgrade by participating in standards-based networks, research partnerships, and technology demonstration environments.</w:t>
      </w:r>
    </w:p>
    <w:p w14:paraId="34D4FE70" w14:textId="097DDACE"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South Korea’s SME diffusion strategy is more programmatic and interventionist. Government </w:t>
      </w:r>
      <w:r w:rsidRPr="00D5285D">
        <w:rPr>
          <w:rFonts w:eastAsia="Book Antiqua"/>
          <w:color w:val="111111"/>
          <w:highlight w:val="white"/>
          <w:lang w:val="en-GB"/>
        </w:rPr>
        <w:lastRenderedPageBreak/>
        <w:t>ministries have used smart factory support programs, AI vouchers, manufacturing innovation policies, and public-private initiatives to lower adoption barriers. OECD materials describe Korea’s AI Voucher Programme as supporting AI adoption among SMEs, medical institutions, and micro-businesses while fostering domestic AI solution providers through a central platform for supplier registration, matching, evaluation, and monitoring. Korean SME policy materials also indicate expanded support for AI-based smart manufacturing innovation. The diffusion logic is policy-enabled adoption: government reduces cost, risk, and coordination barriers.</w:t>
      </w:r>
    </w:p>
    <w:p w14:paraId="6A31EA8C" w14:textId="767D55AB"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comparison reveals two forms of innovation governance. Germany relies more heavily on standardization, industrial associations, research institutes, and coordinated engineering platforms. South Korea relies more heavily on targeted state programs, digital adoption support, and national industrial policy. Germany’s approach may build deep and durable engineering capability but may be slower for firms lacking digital maturity. South Korea’s approach may accelerate adoption but must ensure that supported firms build internal capabilities rather than becoming dependent on external vendors or short-term subsidies.</w:t>
      </w:r>
    </w:p>
    <w:p w14:paraId="17FFF13A" w14:textId="2FD635CB"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causal mechanism is capability accumulation. Smart manufacturing adoption requires firms to develop technical capabilities in data collection, process modeling, equipment integration, AI interpretation, cybersecurity, and human-machine collaboration. Financial support can initiate adoption, but long-term performance depends on learning. Standards can guide integration, but firms need absorptive capacity. Demonstration projects can reduce uncertainty, but firms must adapt technologies to local processes. Workforce training is therefore not auxiliary; it is a core engineering requirement.</w:t>
      </w:r>
    </w:p>
    <w:p w14:paraId="50D5F4EB" w14:textId="27C3438E"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This finding aligns with innovation systems theory, which argues that technological change depends on interactions among firms, universities, research institutes, government agencies, finance, and users (Lundvall, 1992; Nelson, 1993). It also aligns with socio-technical transition theory, which emphasizes that technologies diffuse through regimes, networks, and institutional arrangements rather than through technical superiority alone (Geels, 2020). The evidence from Germany and South Korea shows that smart manufacturing diffusion is not simply a matter of technology readiness; it is a function of ecosystem coordination.</w:t>
      </w:r>
    </w:p>
    <w:p w14:paraId="3B21B3B6" w14:textId="6704371D"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industrial development implication is that SME upgrading must be evaluated through productivity, quality, resilience, and capability formation rather than adoption counts alone. A factory that installs sensors but does not use data for decision-making has not become smart. A firm that receives an AI voucher but lacks internal data governance may not achieve durable productivity gains. A supplier that adopts a digital twin incompatible with customer systems may face integration failure. Therefore, governments should measure smart manufacturing maturity through integration depth, data usability, process optimization, workforce competence, and sustainability performance.</w:t>
      </w:r>
    </w:p>
    <w:p w14:paraId="16F82CE1" w14:textId="629D7CE2"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The sustainability implication is also important. SMEs often operate with older equipment, limited energy management systems, and constrained capital. AI-enabled monitoring and predictive maintenance can improve energy efficiency and reduce waste, but adoption barriers are high. Germany’s ecosystem approach </w:t>
      </w:r>
      <w:r w:rsidRPr="00D5285D">
        <w:rPr>
          <w:rFonts w:eastAsia="Book Antiqua"/>
          <w:color w:val="111111"/>
          <w:highlight w:val="white"/>
          <w:lang w:val="en-GB"/>
        </w:rPr>
        <w:lastRenderedPageBreak/>
        <w:t>can generate sector-specific learning, while South Korea’s support programs can lower entry barriers. The optimal policy lesson is not to choose between standards and subsidies but to combine financial support with interoperability requirements, capability-building, and sustainability metrics.</w:t>
      </w:r>
    </w:p>
    <w:p w14:paraId="49DE6C75" w14:textId="77777777" w:rsidR="00D5285D" w:rsidRPr="00D5285D" w:rsidRDefault="00D5285D" w:rsidP="001E768A">
      <w:pPr>
        <w:pStyle w:val="BodyText"/>
        <w:spacing w:before="236" w:line="360" w:lineRule="auto"/>
        <w:ind w:right="136"/>
        <w:rPr>
          <w:rFonts w:eastAsia="Book Antiqua"/>
          <w:b/>
          <w:bCs/>
          <w:color w:val="111111"/>
          <w:highlight w:val="white"/>
          <w:lang w:val="en-GB"/>
        </w:rPr>
      </w:pPr>
      <w:r w:rsidRPr="00D5285D">
        <w:rPr>
          <w:rFonts w:eastAsia="Book Antiqua"/>
          <w:b/>
          <w:bCs/>
          <w:color w:val="111111"/>
          <w:highlight w:val="white"/>
          <w:lang w:val="en-GB"/>
        </w:rPr>
        <w:t>4. Robotics, Workforce Transformation, and Human-Centered Automation</w:t>
      </w:r>
    </w:p>
    <w:p w14:paraId="74F3B199" w14:textId="32137798"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The fourth finding concerns robotics and workforce transformation. Automation intensity is a central feature of both cases, but its socio-technical meaning differs. South Korea’s robot density is exceptionally high, reflecting strong adoption in electronics, automotive, semiconductors, and advanced manufacturing. </w:t>
      </w:r>
      <w:r>
        <w:rPr>
          <w:rFonts w:eastAsia="Book Antiqua"/>
          <w:color w:val="111111"/>
          <w:highlight w:val="white"/>
          <w:lang w:val="en-GB"/>
        </w:rPr>
        <w:tab/>
      </w: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Germany also has a highly automated industrial base, particularly in automotive, machinery, and precision engineering. IFR data show rapid global growth in industrial robot adoption, with global average robot density more than doubling over seven years. </w:t>
      </w:r>
    </w:p>
    <w:p w14:paraId="43F12667" w14:textId="50B31489"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Robotics contributes to smart manufacturing through precision, repeatability, speed, safety, and data generation. Modern industrial robots increasingly operate as networked cyber-physical assets integrated with sensors, vision systems, AI models, digital twins, and adaptive control. Collaborative robots expand human-machine interaction in assembly, logistics, inspection, and small-batch production. Autonomous mobile robots improve intralogistics and warehouse operations. AI-enabled vision systems support defect detection and quality control.</w:t>
      </w:r>
    </w:p>
    <w:p w14:paraId="155B25F2" w14:textId="6C6D3C49"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However, robotics is not a complete proxy for smart manufacturing. A robotized production line may remain rigid if it lacks adaptive scheduling and data integration. Conversely, low-robot-density sectors may use AI and digital twins for process optimization, maintenance, and energy management. The comparison indicates that robotics must be interpreted within broader engineering architecture. South Korea’s robotics strength provides a strong physical automation base for AI autonomous manufacturing. Germany’s robotics base is embedded in a broader standards and systems engineering environment.</w:t>
      </w:r>
    </w:p>
    <w:p w14:paraId="64CB774C" w14:textId="08F00080"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workforce implications are complex. Smart manufacturing changes the skill profile of industrial labor. Operators increasingly need to understand data dashboards, robot interaction, process analytics, safety protocols, and AI-assisted decision-making. Engineers require interdisciplinary competence in mechanical systems, control theory, software, data science, cybersecurity, and sustainability. Managers need to interpret analytics and redesign workflows. The shift is therefore not from human labor to machine labor alone but from manual operation to human-machine systems supervision.</w:t>
      </w:r>
    </w:p>
    <w:p w14:paraId="6CAC9C43" w14:textId="65FBE139"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This finding challenges deterministic accounts of automation. Brynjolfsson and McAfee (2014) emphasize that digital technologies transform labor markets by augmenting and substituting tasks. Acemoglu and Restrepo (2019) show that automation can displace labor but also create new tasks depending on institutional choices. In smart manufacturing, the key question is whether firms and governments design automation as labor replacement or capability augmentation. Germany’s Industrie 4.0 discourse has often emphasized human-centered production and skilled labor integration. South Korea’s AI autonomous manufacturing agenda is strongly linked to productivity and demographic pressures, including workforce </w:t>
      </w:r>
      <w:r w:rsidRPr="00D5285D">
        <w:rPr>
          <w:rFonts w:eastAsia="Book Antiqua"/>
          <w:color w:val="111111"/>
          <w:highlight w:val="white"/>
          <w:lang w:val="en-GB"/>
        </w:rPr>
        <w:lastRenderedPageBreak/>
        <w:t>decline, but must ensure reskilling and job-quality protections.</w:t>
      </w:r>
    </w:p>
    <w:p w14:paraId="34F3A7A2" w14:textId="082F2C0C"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Human-centered automation is technologically important because operators remain essential for exception handling, maintenance, ethical judgment, safety monitoring, and continuous improvement. AI systems can generate predictions, but human engineers must evaluate model validity, domain context, and operational consequences. Over-automation without human interpretability can reduce resilience when systems encounter unexpected conditions. Therefore, explainable AI, ergonomic interface design, training systems, and participatory implementation are engineering requirements, not merely social preferences.</w:t>
      </w:r>
    </w:p>
    <w:p w14:paraId="0272BDE8" w14:textId="2DAAB191"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sustainability implications of workforce transformation are also significant. Skilled workers can identify energy inefficiencies, maintenance problems, and material waste that automated systems may miss. Human-machine collaboration can improve both productivity and environmental performance when operators are trained to interpret AI recommendations. Conversely, poorly designed automation can create safety risks, deskilling, resistance, and operational instability.</w:t>
      </w:r>
    </w:p>
    <w:p w14:paraId="06EC2EC6" w14:textId="05A56A49"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governance implication is that smart manufacturing policy should include workforce transition strategies, engineering education reform, vocational training, and professional standards for AI-enabled industrial systems. Germany’s dual vocational tradition and applied research institutions provide strong foundations for human-centered Industry 4.0. South Korea’s coordinated policy system can scale training rapidly, but it must ensure that SMEs develop internal capabilities rather than simply purchasing automation. The broader development implication is that manufacturing competitiveness depends on technological sophistication and human capability together.</w:t>
      </w:r>
    </w:p>
    <w:p w14:paraId="2DCB0BF8" w14:textId="77777777" w:rsidR="00D5285D" w:rsidRPr="00D5285D" w:rsidRDefault="00D5285D" w:rsidP="001E768A">
      <w:pPr>
        <w:pStyle w:val="BodyText"/>
        <w:spacing w:before="236" w:line="360" w:lineRule="auto"/>
        <w:ind w:right="136"/>
        <w:rPr>
          <w:rFonts w:eastAsia="Book Antiqua"/>
          <w:b/>
          <w:bCs/>
          <w:color w:val="111111"/>
          <w:highlight w:val="white"/>
          <w:lang w:val="en-GB"/>
        </w:rPr>
      </w:pPr>
      <w:r w:rsidRPr="00D5285D">
        <w:rPr>
          <w:rFonts w:eastAsia="Book Antiqua"/>
          <w:b/>
          <w:bCs/>
          <w:color w:val="111111"/>
          <w:highlight w:val="white"/>
          <w:lang w:val="en-GB"/>
        </w:rPr>
        <w:t>5. Sustainability Performance, Energy Efficiency, and Circular Industrial Transformation</w:t>
      </w:r>
    </w:p>
    <w:p w14:paraId="6196EFBD" w14:textId="1AEF245C"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fifth finding concerns sustainability. AI-enabled smart manufacturing can support sustainability through energy optimization, material efficiency, predictive maintenance, waste reduction, lifecycle monitoring, and circular production. However, sustainability gains are neither automatic nor uniformly distributed. They depend on engineering design, data quality, energy sources, production incentives, and governance metrics.</w:t>
      </w:r>
    </w:p>
    <w:p w14:paraId="767821A0" w14:textId="74EBF26D"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Germany’s Industrie 4.0 model has increasingly been connected to sustainability through digital product passports, lifecycle data, circular economy strategies, energy management, and industrial data spaces. Digital twins can support lifecycle assessment by tracking materials, component histories, maintenance events, and end-of-life pathways. Standardization can enable cross-firm sustainability data exchange, which is critical for circular supply chains. Germany’s strength in machinery, automotive, and industrial software creates opportunities to embed sustainability into production systems.</w:t>
      </w:r>
    </w:p>
    <w:p w14:paraId="79AEF84C" w14:textId="5AFDBCFF"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 xml:space="preserve">South Korea’s AI autonomous manufacturing model links sustainability to productivity, carbon reduction, and industrial modernization. Korean policy statements on AI autonomous manufacturing explicitly refer to carbon reduction alongside productivity and demographic challenges. This is significant because South Korea’s manufacturing economy includes energy-intensive sectors such as semiconductors, </w:t>
      </w:r>
      <w:r w:rsidRPr="00D5285D">
        <w:rPr>
          <w:rFonts w:eastAsia="Book Antiqua"/>
          <w:color w:val="111111"/>
          <w:highlight w:val="white"/>
          <w:lang w:val="en-GB"/>
        </w:rPr>
        <w:lastRenderedPageBreak/>
        <w:t>steel, shipbuilding, petrochemicals, and automotive manufacturing. AI-enabled optimization can reduce energy waste, improve process stability, and support carbon management.</w:t>
      </w:r>
    </w:p>
    <w:p w14:paraId="48788182" w14:textId="1BA5D3C2"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engineering mechanisms are clear. Predictive maintenance reduces energy losses caused by degraded equipment. AI-based process control stabilizes temperature, pressure, speed, and material input parameters. Digital twins simulate energy and material flows before physical changes are implemented. Computer vision reduces defects and scrap. Advanced scheduling can align production with energy availability or lower-carbon electricity periods. Industrial IoT enables continuous monitoring of compressed air systems, motors, pumps, furnaces, and HVAC systems. Additive manufacturing can reduce material waste in certain applications, although its net sustainability depends on energy intensity and material choice.</w:t>
      </w:r>
    </w:p>
    <w:p w14:paraId="520D227B" w14:textId="406C8693"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IEA’s 2024 energy technology analysis emphasizes the deepening connections among energy, trade, manufacturing, and climate, using granular data and bottom-up modeling to examine clean energy technology supply chains. This is relevant because manufacturing digitalization affects both the production of clean technologies and the environmental performance of industrial systems. Smart manufacturing can support clean technology supply chains by improving quality, throughput, traceability, and resource efficiency in batteries, solar components, hydrogen equipment, semiconductors, and power electronics.</w:t>
      </w:r>
    </w:p>
    <w:p w14:paraId="5CF0A2BF" w14:textId="508203C2"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However, the comparison also reveals rebound and governance risks. Efficiency improvements may reduce unit costs and increase total production. AI computation and industrial data infrastructure consume electricity. Sensors, robots, servers, and electronic components require materials and generate e-waste. If sustainability metrics are not embedded into smart manufacturing governance, digitalization may improve productivity without reducing environmental impact. Therefore, sustainability performance must be measured through lifecycle assessment, energy intensity, carbon intensity, material circularity, and waste reduction rather than technology adoption rates.</w:t>
      </w:r>
    </w:p>
    <w:p w14:paraId="16A05FF7" w14:textId="220BA793"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This finding extends Industry 4.0 sustainability literature by emphasizing governance conditions. Khan et al. (2025) argue that AI, IIoT, blockchain, digital twins, analytics, robotics, and additive manufacturing can support sustainability. Yet the Germany–South Korea comparison shows that sustainability benefits depend on whether technological systems are governed through standards, incentives, data infrastructures, and performance metrics. Germany’s interoperability model can support lifecycle sustainability data exchange; South Korea’s coordinated programs can integrate carbon reduction into adoption support. Both models require stronger sustainability auditing.</w:t>
      </w:r>
    </w:p>
    <w:p w14:paraId="218E53C2" w14:textId="0E298B48" w:rsidR="00D5285D" w:rsidRPr="00D5285D" w:rsidRDefault="00D5285D"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Pr="00D5285D">
        <w:rPr>
          <w:rFonts w:eastAsia="Book Antiqua"/>
          <w:color w:val="111111"/>
          <w:highlight w:val="white"/>
          <w:lang w:val="en-GB"/>
        </w:rPr>
        <w:t>The industrial implication is that smart manufacturing policy should link digital subsidies, standards, and procurement to sustainability outcomes. Firms receiving support for AI or robotics should be encouraged or required to measure energy, material, waste, and emissions impacts. Digital twin reference architectures should include sustainability variables. AI optimization should include multi-objective functions balancing throughput, quality, energy, emissions, and maintenance. The development implication is that smart manufacturing can support green industrial competitiveness only when productivity gains are aligned with environmental performance.</w:t>
      </w:r>
    </w:p>
    <w:p w14:paraId="6C3008D3" w14:textId="77777777" w:rsidR="00D5285D" w:rsidRPr="00D5285D" w:rsidRDefault="00BE4D62"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lastRenderedPageBreak/>
        <w:pict w14:anchorId="4906145D">
          <v:rect id="_x0000_i1026" style="width:0;height:1.5pt" o:hralign="center" o:hrstd="t" o:hr="t" fillcolor="#a0a0a0" stroked="f"/>
        </w:pict>
      </w:r>
    </w:p>
    <w:p w14:paraId="09CF6E35" w14:textId="77777777" w:rsidR="00D5285D" w:rsidRPr="00D5285D" w:rsidRDefault="00D5285D" w:rsidP="001E768A">
      <w:pPr>
        <w:pStyle w:val="BodyText"/>
        <w:spacing w:before="236" w:line="360" w:lineRule="auto"/>
        <w:ind w:right="136"/>
        <w:rPr>
          <w:rFonts w:eastAsia="Book Antiqua"/>
          <w:b/>
          <w:bCs/>
          <w:color w:val="111111"/>
          <w:highlight w:val="white"/>
          <w:lang w:val="en-GB"/>
        </w:rPr>
      </w:pPr>
      <w:r w:rsidRPr="00D5285D">
        <w:rPr>
          <w:rFonts w:eastAsia="Book Antiqua"/>
          <w:b/>
          <w:bCs/>
          <w:color w:val="111111"/>
          <w:highlight w:val="white"/>
          <w:lang w:val="en-GB"/>
        </w:rPr>
        <w:t>Table 1. Analytical Matrix of Comparative Science, Engineering and Technological Development</w:t>
      </w:r>
    </w:p>
    <w:tbl>
      <w:tblPr>
        <w:tblStyle w:val="PlainTable2"/>
        <w:tblW w:w="0" w:type="auto"/>
        <w:tblLook w:val="04A0" w:firstRow="1" w:lastRow="0" w:firstColumn="1" w:lastColumn="0" w:noHBand="0" w:noVBand="1"/>
      </w:tblPr>
      <w:tblGrid>
        <w:gridCol w:w="2079"/>
        <w:gridCol w:w="2221"/>
        <w:gridCol w:w="2189"/>
        <w:gridCol w:w="2110"/>
        <w:gridCol w:w="2110"/>
      </w:tblGrid>
      <w:tr w:rsidR="00D5285D" w:rsidRPr="00D5285D" w14:paraId="2A70C114" w14:textId="77777777" w:rsidTr="00D528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C39BED"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t>Variable</w:t>
            </w:r>
          </w:p>
        </w:tc>
        <w:tc>
          <w:tcPr>
            <w:tcW w:w="0" w:type="auto"/>
            <w:hideMark/>
          </w:tcPr>
          <w:p w14:paraId="6C41C789" w14:textId="77777777" w:rsidR="00D5285D" w:rsidRPr="00D5285D" w:rsidRDefault="00D5285D" w:rsidP="001E768A">
            <w:pPr>
              <w:pStyle w:val="BodyText"/>
              <w:spacing w:before="236" w:line="360" w:lineRule="auto"/>
              <w:ind w:right="136"/>
              <w:cnfStyle w:val="100000000000" w:firstRow="1"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Case 1: Germany’s Industrie 4.0 Model</w:t>
            </w:r>
          </w:p>
        </w:tc>
        <w:tc>
          <w:tcPr>
            <w:tcW w:w="0" w:type="auto"/>
            <w:hideMark/>
          </w:tcPr>
          <w:p w14:paraId="3290B71A" w14:textId="77777777" w:rsidR="00D5285D" w:rsidRPr="00D5285D" w:rsidRDefault="00D5285D" w:rsidP="001E768A">
            <w:pPr>
              <w:pStyle w:val="BodyText"/>
              <w:spacing w:before="236" w:line="360" w:lineRule="auto"/>
              <w:ind w:right="136"/>
              <w:cnfStyle w:val="100000000000" w:firstRow="1"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Case 2: South Korea’s AI Autonomous Manufacturing Model</w:t>
            </w:r>
          </w:p>
        </w:tc>
        <w:tc>
          <w:tcPr>
            <w:tcW w:w="0" w:type="auto"/>
            <w:hideMark/>
          </w:tcPr>
          <w:p w14:paraId="74CD1C4F" w14:textId="77777777" w:rsidR="00D5285D" w:rsidRPr="00D5285D" w:rsidRDefault="00D5285D" w:rsidP="001E768A">
            <w:pPr>
              <w:pStyle w:val="BodyText"/>
              <w:spacing w:before="236" w:line="360" w:lineRule="auto"/>
              <w:ind w:right="136"/>
              <w:cnfStyle w:val="100000000000" w:firstRow="1"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Empirical Evidence</w:t>
            </w:r>
          </w:p>
        </w:tc>
        <w:tc>
          <w:tcPr>
            <w:tcW w:w="0" w:type="auto"/>
            <w:hideMark/>
          </w:tcPr>
          <w:p w14:paraId="7BC407EB" w14:textId="77777777" w:rsidR="00D5285D" w:rsidRPr="00D5285D" w:rsidRDefault="00D5285D" w:rsidP="001E768A">
            <w:pPr>
              <w:pStyle w:val="BodyText"/>
              <w:spacing w:before="236" w:line="360" w:lineRule="auto"/>
              <w:ind w:right="136"/>
              <w:cnfStyle w:val="100000000000" w:firstRow="1"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Analytical Interpretation</w:t>
            </w:r>
          </w:p>
        </w:tc>
      </w:tr>
      <w:tr w:rsidR="00D5285D" w:rsidRPr="00D5285D" w14:paraId="5413B86B" w14:textId="77777777" w:rsidTr="00D52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ABD5BC"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t>Technological architecture</w:t>
            </w:r>
          </w:p>
        </w:tc>
        <w:tc>
          <w:tcPr>
            <w:tcW w:w="0" w:type="auto"/>
            <w:hideMark/>
          </w:tcPr>
          <w:p w14:paraId="55337359"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Standards-oriented cyber-physical production systems emphasizing interoperability, asset administration, industrial data spaces, and digital twin reference models</w:t>
            </w:r>
          </w:p>
        </w:tc>
        <w:tc>
          <w:tcPr>
            <w:tcW w:w="0" w:type="auto"/>
            <w:hideMark/>
          </w:tcPr>
          <w:p w14:paraId="31DD064F"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AI-centered autonomous manufacturing emphasizing robotics, data-driven smart factories, AI vouchers, digital twins, and SME transformation</w:t>
            </w:r>
          </w:p>
        </w:tc>
        <w:tc>
          <w:tcPr>
            <w:tcW w:w="0" w:type="auto"/>
            <w:hideMark/>
          </w:tcPr>
          <w:p w14:paraId="0747CA89"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German Industrie 4.0 vision and digital twin standardization work; Korean SME and AI manufacturing support programs</w:t>
            </w:r>
          </w:p>
        </w:tc>
        <w:tc>
          <w:tcPr>
            <w:tcW w:w="0" w:type="auto"/>
            <w:hideMark/>
          </w:tcPr>
          <w:p w14:paraId="6831A855"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Germany prioritizes architectural reliability; South Korea prioritizes accelerated deployment and applied industrial transformation</w:t>
            </w:r>
          </w:p>
        </w:tc>
      </w:tr>
      <w:tr w:rsidR="00D5285D" w:rsidRPr="00D5285D" w14:paraId="51187D44" w14:textId="77777777" w:rsidTr="00D5285D">
        <w:tc>
          <w:tcPr>
            <w:cnfStyle w:val="001000000000" w:firstRow="0" w:lastRow="0" w:firstColumn="1" w:lastColumn="0" w:oddVBand="0" w:evenVBand="0" w:oddHBand="0" w:evenHBand="0" w:firstRowFirstColumn="0" w:firstRowLastColumn="0" w:lastRowFirstColumn="0" w:lastRowLastColumn="0"/>
            <w:tcW w:w="0" w:type="auto"/>
            <w:hideMark/>
          </w:tcPr>
          <w:p w14:paraId="1396BE29"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t>Automation intensity</w:t>
            </w:r>
          </w:p>
        </w:tc>
        <w:tc>
          <w:tcPr>
            <w:tcW w:w="0" w:type="auto"/>
            <w:hideMark/>
          </w:tcPr>
          <w:p w14:paraId="1909E3D8"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High robot density and strong automation in automotive, machinery, and advanced manufacturing</w:t>
            </w:r>
          </w:p>
        </w:tc>
        <w:tc>
          <w:tcPr>
            <w:tcW w:w="0" w:type="auto"/>
            <w:hideMark/>
          </w:tcPr>
          <w:p w14:paraId="2B768ABF"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World-leading robot density and strong robotics deployment in electronics, automotive, semiconduct</w:t>
            </w:r>
            <w:r w:rsidRPr="00D5285D">
              <w:rPr>
                <w:rFonts w:eastAsia="Book Antiqua"/>
                <w:color w:val="111111"/>
                <w:highlight w:val="white"/>
                <w:lang w:val="en-GB"/>
              </w:rPr>
              <w:lastRenderedPageBreak/>
              <w:t>ors, and advanced manufacturing</w:t>
            </w:r>
          </w:p>
        </w:tc>
        <w:tc>
          <w:tcPr>
            <w:tcW w:w="0" w:type="auto"/>
            <w:hideMark/>
          </w:tcPr>
          <w:p w14:paraId="7DB57A7B"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lastRenderedPageBreak/>
              <w:t>IFR and Reuters report South Korea at 1,012 robots and Germany at 429 robots per 10,000 manufactur</w:t>
            </w:r>
            <w:r w:rsidRPr="00D5285D">
              <w:rPr>
                <w:rFonts w:eastAsia="Book Antiqua"/>
                <w:color w:val="111111"/>
                <w:highlight w:val="white"/>
                <w:lang w:val="en-GB"/>
              </w:rPr>
              <w:lastRenderedPageBreak/>
              <w:t>ing employees in 2023</w:t>
            </w:r>
          </w:p>
        </w:tc>
        <w:tc>
          <w:tcPr>
            <w:tcW w:w="0" w:type="auto"/>
            <w:hideMark/>
          </w:tcPr>
          <w:p w14:paraId="3628AA42"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lastRenderedPageBreak/>
              <w:t xml:space="preserve">South Korea has greater robotics intensity, but Germany’s systems integration capacity remains a </w:t>
            </w:r>
            <w:r w:rsidRPr="00D5285D">
              <w:rPr>
                <w:rFonts w:eastAsia="Book Antiqua"/>
                <w:color w:val="111111"/>
                <w:highlight w:val="white"/>
                <w:lang w:val="en-GB"/>
              </w:rPr>
              <w:lastRenderedPageBreak/>
              <w:t>major advantage</w:t>
            </w:r>
          </w:p>
        </w:tc>
      </w:tr>
      <w:tr w:rsidR="00D5285D" w:rsidRPr="00D5285D" w14:paraId="19E4CE68" w14:textId="77777777" w:rsidTr="00D52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8A8AFF"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lastRenderedPageBreak/>
              <w:t>Engineering governance</w:t>
            </w:r>
          </w:p>
        </w:tc>
        <w:tc>
          <w:tcPr>
            <w:tcW w:w="0" w:type="auto"/>
            <w:hideMark/>
          </w:tcPr>
          <w:p w14:paraId="650324B0"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Platform-based coordination among government, industry, standardization bodies, research institutes, and manufacturing firms</w:t>
            </w:r>
          </w:p>
        </w:tc>
        <w:tc>
          <w:tcPr>
            <w:tcW w:w="0" w:type="auto"/>
            <w:hideMark/>
          </w:tcPr>
          <w:p w14:paraId="44A35BCA"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State-coordinated industrial policy involving ministries, SMEs, AI providers, public programs, and industrial alliances</w:t>
            </w:r>
          </w:p>
        </w:tc>
        <w:tc>
          <w:tcPr>
            <w:tcW w:w="0" w:type="auto"/>
            <w:hideMark/>
          </w:tcPr>
          <w:p w14:paraId="4A0524C8"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Plattform Industrie 4.0; Korean smart manufacturing and AI voucher programs</w:t>
            </w:r>
          </w:p>
        </w:tc>
        <w:tc>
          <w:tcPr>
            <w:tcW w:w="0" w:type="auto"/>
            <w:hideMark/>
          </w:tcPr>
          <w:p w14:paraId="4260E2AD"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Governance architecture shapes how technologies diffuse and become operational</w:t>
            </w:r>
          </w:p>
        </w:tc>
      </w:tr>
      <w:tr w:rsidR="00D5285D" w:rsidRPr="00D5285D" w14:paraId="58B12406" w14:textId="77777777" w:rsidTr="00D5285D">
        <w:tc>
          <w:tcPr>
            <w:cnfStyle w:val="001000000000" w:firstRow="0" w:lastRow="0" w:firstColumn="1" w:lastColumn="0" w:oddVBand="0" w:evenVBand="0" w:oddHBand="0" w:evenHBand="0" w:firstRowFirstColumn="0" w:firstRowLastColumn="0" w:lastRowFirstColumn="0" w:lastRowLastColumn="0"/>
            <w:tcW w:w="0" w:type="auto"/>
            <w:hideMark/>
          </w:tcPr>
          <w:p w14:paraId="79CF3129"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t>Digital twin function</w:t>
            </w:r>
          </w:p>
        </w:tc>
        <w:tc>
          <w:tcPr>
            <w:tcW w:w="0" w:type="auto"/>
            <w:hideMark/>
          </w:tcPr>
          <w:p w14:paraId="1C9DF9BE"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Lifecycle interoperability, standardization, product-process integration, and cross-firm coordination</w:t>
            </w:r>
          </w:p>
        </w:tc>
        <w:tc>
          <w:tcPr>
            <w:tcW w:w="0" w:type="auto"/>
            <w:hideMark/>
          </w:tcPr>
          <w:p w14:paraId="7382ADA2"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Autonomous factory implementation, process optimization, SME upgrading, and manufacturing data mobilization</w:t>
            </w:r>
          </w:p>
        </w:tc>
        <w:tc>
          <w:tcPr>
            <w:tcW w:w="0" w:type="auto"/>
            <w:hideMark/>
          </w:tcPr>
          <w:p w14:paraId="774C2838"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German digital twin reference model; Korean autonomous factory policy using digital twins</w:t>
            </w:r>
          </w:p>
        </w:tc>
        <w:tc>
          <w:tcPr>
            <w:tcW w:w="0" w:type="auto"/>
            <w:hideMark/>
          </w:tcPr>
          <w:p w14:paraId="3FAFDCA9"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Digital twins operate as socio-technical coordination devices, not only simulation tools</w:t>
            </w:r>
          </w:p>
        </w:tc>
      </w:tr>
      <w:tr w:rsidR="00D5285D" w:rsidRPr="00D5285D" w14:paraId="61775558" w14:textId="77777777" w:rsidTr="00D52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BFD1D9"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t>SME diffusion mechanism</w:t>
            </w:r>
          </w:p>
        </w:tc>
        <w:tc>
          <w:tcPr>
            <w:tcW w:w="0" w:type="auto"/>
            <w:hideMark/>
          </w:tcPr>
          <w:p w14:paraId="3FE2393D"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Standards, applied research networks, demonstration centers, ecosystem learning, and supplier-</w:t>
            </w:r>
            <w:r w:rsidRPr="00D5285D">
              <w:rPr>
                <w:rFonts w:eastAsia="Book Antiqua"/>
                <w:color w:val="111111"/>
                <w:highlight w:val="white"/>
                <w:lang w:val="en-GB"/>
              </w:rPr>
              <w:lastRenderedPageBreak/>
              <w:t>chain coordination</w:t>
            </w:r>
          </w:p>
        </w:tc>
        <w:tc>
          <w:tcPr>
            <w:tcW w:w="0" w:type="auto"/>
            <w:hideMark/>
          </w:tcPr>
          <w:p w14:paraId="64BAB6F8"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lastRenderedPageBreak/>
              <w:t xml:space="preserve">Subsidies, vouchers, smart factory programs, AI adoption support, and government-led </w:t>
            </w:r>
            <w:r w:rsidRPr="00D5285D">
              <w:rPr>
                <w:rFonts w:eastAsia="Book Antiqua"/>
                <w:color w:val="111111"/>
                <w:highlight w:val="white"/>
                <w:lang w:val="en-GB"/>
              </w:rPr>
              <w:lastRenderedPageBreak/>
              <w:t>matching platforms</w:t>
            </w:r>
          </w:p>
        </w:tc>
        <w:tc>
          <w:tcPr>
            <w:tcW w:w="0" w:type="auto"/>
            <w:hideMark/>
          </w:tcPr>
          <w:p w14:paraId="6A0A31D1"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lastRenderedPageBreak/>
              <w:t>German Industrie 4.0 policy; OECD and Korean SME digitalization materials</w:t>
            </w:r>
          </w:p>
        </w:tc>
        <w:tc>
          <w:tcPr>
            <w:tcW w:w="0" w:type="auto"/>
            <w:hideMark/>
          </w:tcPr>
          <w:p w14:paraId="24260415"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 xml:space="preserve">Germany builds deep capability through ecosystems; South Korea lowers adoption </w:t>
            </w:r>
            <w:r w:rsidRPr="00D5285D">
              <w:rPr>
                <w:rFonts w:eastAsia="Book Antiqua"/>
                <w:color w:val="111111"/>
                <w:highlight w:val="white"/>
                <w:lang w:val="en-GB"/>
              </w:rPr>
              <w:lastRenderedPageBreak/>
              <w:t>barriers through targeted support</w:t>
            </w:r>
          </w:p>
        </w:tc>
      </w:tr>
      <w:tr w:rsidR="00D5285D" w:rsidRPr="00D5285D" w14:paraId="151110E0" w14:textId="77777777" w:rsidTr="00D5285D">
        <w:tc>
          <w:tcPr>
            <w:cnfStyle w:val="001000000000" w:firstRow="0" w:lastRow="0" w:firstColumn="1" w:lastColumn="0" w:oddVBand="0" w:evenVBand="0" w:oddHBand="0" w:evenHBand="0" w:firstRowFirstColumn="0" w:firstRowLastColumn="0" w:lastRowFirstColumn="0" w:lastRowLastColumn="0"/>
            <w:tcW w:w="0" w:type="auto"/>
            <w:hideMark/>
          </w:tcPr>
          <w:p w14:paraId="3A120841"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lastRenderedPageBreak/>
              <w:t>Sustainability mechanism</w:t>
            </w:r>
          </w:p>
        </w:tc>
        <w:tc>
          <w:tcPr>
            <w:tcW w:w="0" w:type="auto"/>
            <w:hideMark/>
          </w:tcPr>
          <w:p w14:paraId="60D3860B"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Lifecycle data, circularity, energy management, industrial interoperability, and digital product information</w:t>
            </w:r>
          </w:p>
        </w:tc>
        <w:tc>
          <w:tcPr>
            <w:tcW w:w="0" w:type="auto"/>
            <w:hideMark/>
          </w:tcPr>
          <w:p w14:paraId="2DCA4B6F"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Productivity-carbon linkage, AI process optimization, smart factory modernization, and resource efficiency programs</w:t>
            </w:r>
          </w:p>
        </w:tc>
        <w:tc>
          <w:tcPr>
            <w:tcW w:w="0" w:type="auto"/>
            <w:hideMark/>
          </w:tcPr>
          <w:p w14:paraId="44BCA955"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IEA clean technology and energy efficiency analysis; Korean AI manufacturing carbon-reduction framing</w:t>
            </w:r>
          </w:p>
        </w:tc>
        <w:tc>
          <w:tcPr>
            <w:tcW w:w="0" w:type="auto"/>
            <w:hideMark/>
          </w:tcPr>
          <w:p w14:paraId="14B8EAB6"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Sustainability benefits depend on whether digitalization is linked to measurable energy, material, and emissions outcomes</w:t>
            </w:r>
          </w:p>
        </w:tc>
      </w:tr>
      <w:tr w:rsidR="00D5285D" w:rsidRPr="00D5285D" w14:paraId="67E445F5" w14:textId="77777777" w:rsidTr="00D528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C12329"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t>Industrial performance outcome</w:t>
            </w:r>
          </w:p>
        </w:tc>
        <w:tc>
          <w:tcPr>
            <w:tcW w:w="0" w:type="auto"/>
            <w:hideMark/>
          </w:tcPr>
          <w:p w14:paraId="6E6EC82A"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Long-term systems reliability, export-oriented engineering competitiveness, and high-quality production networks</w:t>
            </w:r>
          </w:p>
        </w:tc>
        <w:tc>
          <w:tcPr>
            <w:tcW w:w="0" w:type="auto"/>
            <w:hideMark/>
          </w:tcPr>
          <w:p w14:paraId="2B01DF28"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Rapid productivity upgrading, automation scaling, SME digital transformation, and AI manufacturing competitiveness</w:t>
            </w:r>
          </w:p>
        </w:tc>
        <w:tc>
          <w:tcPr>
            <w:tcW w:w="0" w:type="auto"/>
            <w:hideMark/>
          </w:tcPr>
          <w:p w14:paraId="01DACA97"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Robotics density, policy programs, smart manufacturing support targets</w:t>
            </w:r>
          </w:p>
        </w:tc>
        <w:tc>
          <w:tcPr>
            <w:tcW w:w="0" w:type="auto"/>
            <w:hideMark/>
          </w:tcPr>
          <w:p w14:paraId="419ABA27" w14:textId="77777777" w:rsidR="00D5285D" w:rsidRPr="00D5285D" w:rsidRDefault="00D5285D" w:rsidP="001E768A">
            <w:pPr>
              <w:pStyle w:val="BodyText"/>
              <w:spacing w:before="236" w:line="360" w:lineRule="auto"/>
              <w:ind w:right="136"/>
              <w:cnfStyle w:val="000000100000" w:firstRow="0" w:lastRow="0" w:firstColumn="0" w:lastColumn="0" w:oddVBand="0" w:evenVBand="0" w:oddHBand="1"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Germany’s model favors robust integration; Korea’s model favors speed and scale</w:t>
            </w:r>
          </w:p>
        </w:tc>
      </w:tr>
      <w:tr w:rsidR="00D5285D" w:rsidRPr="00D5285D" w14:paraId="7670567E" w14:textId="77777777" w:rsidTr="00D5285D">
        <w:tc>
          <w:tcPr>
            <w:cnfStyle w:val="001000000000" w:firstRow="0" w:lastRow="0" w:firstColumn="1" w:lastColumn="0" w:oddVBand="0" w:evenVBand="0" w:oddHBand="0" w:evenHBand="0" w:firstRowFirstColumn="0" w:firstRowLastColumn="0" w:lastRowFirstColumn="0" w:lastRowLastColumn="0"/>
            <w:tcW w:w="0" w:type="auto"/>
            <w:hideMark/>
          </w:tcPr>
          <w:p w14:paraId="3B5CA60A"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t>Socio-economic implication</w:t>
            </w:r>
          </w:p>
        </w:tc>
        <w:tc>
          <w:tcPr>
            <w:tcW w:w="0" w:type="auto"/>
            <w:hideMark/>
          </w:tcPr>
          <w:p w14:paraId="6C5AA5E5"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 xml:space="preserve">Strengthens industrial resilience through standards, skilled labor, and advanced </w:t>
            </w:r>
            <w:r w:rsidRPr="00D5285D">
              <w:rPr>
                <w:rFonts w:eastAsia="Book Antiqua"/>
                <w:color w:val="111111"/>
                <w:highlight w:val="white"/>
                <w:lang w:val="en-GB"/>
              </w:rPr>
              <w:lastRenderedPageBreak/>
              <w:t>engineering ecosystems</w:t>
            </w:r>
          </w:p>
        </w:tc>
        <w:tc>
          <w:tcPr>
            <w:tcW w:w="0" w:type="auto"/>
            <w:hideMark/>
          </w:tcPr>
          <w:p w14:paraId="6C9B4158"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lastRenderedPageBreak/>
              <w:t xml:space="preserve">Supports productivity under demographic pressure and accelerates AI-based </w:t>
            </w:r>
            <w:r w:rsidRPr="00D5285D">
              <w:rPr>
                <w:rFonts w:eastAsia="Book Antiqua"/>
                <w:color w:val="111111"/>
                <w:highlight w:val="white"/>
                <w:lang w:val="en-GB"/>
              </w:rPr>
              <w:lastRenderedPageBreak/>
              <w:t>industrial modernization</w:t>
            </w:r>
          </w:p>
        </w:tc>
        <w:tc>
          <w:tcPr>
            <w:tcW w:w="0" w:type="auto"/>
            <w:hideMark/>
          </w:tcPr>
          <w:p w14:paraId="1B26B040"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lastRenderedPageBreak/>
              <w:t>OECD Korea economic analysis; IFR robotics data</w:t>
            </w:r>
          </w:p>
        </w:tc>
        <w:tc>
          <w:tcPr>
            <w:tcW w:w="0" w:type="auto"/>
            <w:hideMark/>
          </w:tcPr>
          <w:p w14:paraId="364454A7" w14:textId="77777777" w:rsidR="00D5285D" w:rsidRPr="00D5285D" w:rsidRDefault="00D5285D" w:rsidP="001E768A">
            <w:pPr>
              <w:pStyle w:val="BodyText"/>
              <w:spacing w:before="236" w:line="360" w:lineRule="auto"/>
              <w:ind w:right="136"/>
              <w:cnfStyle w:val="000000000000" w:firstRow="0" w:lastRow="0" w:firstColumn="0" w:lastColumn="0" w:oddVBand="0" w:evenVBand="0" w:oddHBand="0" w:evenHBand="0" w:firstRowFirstColumn="0" w:firstRowLastColumn="0" w:lastRowFirstColumn="0" w:lastRowLastColumn="0"/>
              <w:rPr>
                <w:rFonts w:eastAsia="Book Antiqua"/>
                <w:color w:val="111111"/>
                <w:highlight w:val="white"/>
                <w:lang w:val="en-GB"/>
              </w:rPr>
            </w:pPr>
            <w:r w:rsidRPr="00D5285D">
              <w:rPr>
                <w:rFonts w:eastAsia="Book Antiqua"/>
                <w:color w:val="111111"/>
                <w:highlight w:val="white"/>
                <w:lang w:val="en-GB"/>
              </w:rPr>
              <w:t xml:space="preserve">Both models show that smart manufacturing is a development strategy, </w:t>
            </w:r>
            <w:r w:rsidRPr="00D5285D">
              <w:rPr>
                <w:rFonts w:eastAsia="Book Antiqua"/>
                <w:color w:val="111111"/>
                <w:highlight w:val="white"/>
                <w:lang w:val="en-GB"/>
              </w:rPr>
              <w:lastRenderedPageBreak/>
              <w:t>not only a factory technology</w:t>
            </w:r>
          </w:p>
        </w:tc>
      </w:tr>
    </w:tbl>
    <w:p w14:paraId="4EB31915" w14:textId="14B50804" w:rsidR="00D5285D" w:rsidRPr="00D5285D" w:rsidRDefault="00064C00"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lastRenderedPageBreak/>
        <w:tab/>
      </w:r>
      <w:r>
        <w:rPr>
          <w:rFonts w:eastAsia="Book Antiqua"/>
          <w:color w:val="111111"/>
          <w:highlight w:val="white"/>
          <w:lang w:val="en-GB"/>
        </w:rPr>
        <w:tab/>
      </w:r>
      <w:r w:rsidR="00D5285D" w:rsidRPr="00D5285D">
        <w:rPr>
          <w:rFonts w:eastAsia="Book Antiqua"/>
          <w:color w:val="111111"/>
          <w:highlight w:val="white"/>
          <w:lang w:val="en-GB"/>
        </w:rPr>
        <w:t>The table demonstrates that Germany and South Korea represent two distinct but complementary smart manufacturing pathways. Germany’s Industrie 4.0 model is built around engineering standardization, interoperability, lifecycle integration, and institutionalized industrial coordination. South Korea’s AI autonomous manufacturing model is built around rapid implementation, robotics, state-supported SME digitalization, AI infrastructure, and strategic industrial upgrading. The comparison reveals that neither architecture is sufficient alone. Interoperability without adoption support risks slow diffusion; adoption support without interoperability risks fragmented systems and weak long-term capability.</w:t>
      </w:r>
    </w:p>
    <w:p w14:paraId="47D61777" w14:textId="47F9AFE9" w:rsidR="00D5285D" w:rsidRPr="00D5285D" w:rsidRDefault="00064C00"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00D5285D" w:rsidRPr="00D5285D">
        <w:rPr>
          <w:rFonts w:eastAsia="Book Antiqua"/>
          <w:color w:val="111111"/>
          <w:highlight w:val="white"/>
          <w:lang w:val="en-GB"/>
        </w:rPr>
        <w:t>The deeper analytical interpretation is that smart manufacturing performance emerges from the coupling of engineering architecture and governance architecture. Cyber-physical systems, digital twins, robots, and AI models generate industrial value only when institutions solve coordination problems: data access, standards, skills, cybersecurity, investment risk, sustainability measurement, and workforce transition. Germany solves these problems through standardization and ecosystem governance. South Korea solves them through public investment, industrial policy, and adoption support. Both approaches provide transferable lessons for countries seeking sustainable industrial transformation.</w:t>
      </w:r>
    </w:p>
    <w:p w14:paraId="7B4F0C17" w14:textId="77777777" w:rsidR="00D5285D" w:rsidRPr="00D5285D" w:rsidRDefault="00BE4D62"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pict w14:anchorId="094807EF">
          <v:rect id="_x0000_i1027" style="width:0;height:1.5pt" o:hralign="center" o:hrstd="t" o:hr="t" fillcolor="#a0a0a0" stroked="f"/>
        </w:pict>
      </w:r>
    </w:p>
    <w:p w14:paraId="228FC2B9" w14:textId="77777777" w:rsidR="00D5285D" w:rsidRPr="00D5285D" w:rsidRDefault="00D5285D" w:rsidP="001E768A">
      <w:pPr>
        <w:pStyle w:val="BodyText"/>
        <w:spacing w:before="236" w:line="360" w:lineRule="auto"/>
        <w:ind w:right="136"/>
        <w:rPr>
          <w:rFonts w:eastAsia="Book Antiqua"/>
          <w:b/>
          <w:bCs/>
          <w:color w:val="111111"/>
          <w:highlight w:val="white"/>
          <w:lang w:val="en-GB"/>
        </w:rPr>
      </w:pPr>
      <w:r w:rsidRPr="00D5285D">
        <w:rPr>
          <w:rFonts w:eastAsia="Book Antiqua"/>
          <w:b/>
          <w:bCs/>
          <w:color w:val="111111"/>
          <w:highlight w:val="white"/>
          <w:lang w:val="en-GB"/>
        </w:rPr>
        <w:t>Conceptual Model</w:t>
      </w:r>
    </w:p>
    <w:p w14:paraId="002DEA22"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t>This article proposes the following conceptual model:</w:t>
      </w:r>
    </w:p>
    <w:p w14:paraId="7C7BD34B"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b/>
          <w:bCs/>
          <w:color w:val="111111"/>
          <w:highlight w:val="white"/>
          <w:lang w:val="en-GB"/>
        </w:rPr>
        <w:t>Engineering Governance → Technological Integration → Industrial Innovation → Sustainability Performance → Socio-Economic Resilience</w:t>
      </w:r>
    </w:p>
    <w:p w14:paraId="3565E640" w14:textId="7D59095F" w:rsidR="00D5285D" w:rsidRPr="00D5285D" w:rsidRDefault="00064C00" w:rsidP="001E768A">
      <w:pPr>
        <w:pStyle w:val="BodyText"/>
        <w:spacing w:before="236" w:line="360" w:lineRule="auto"/>
        <w:ind w:right="136"/>
        <w:rPr>
          <w:rFonts w:eastAsia="Book Antiqua"/>
          <w:color w:val="111111"/>
          <w:highlight w:val="white"/>
          <w:lang w:val="en-GB"/>
        </w:rPr>
      </w:pPr>
      <w:r>
        <w:rPr>
          <w:rFonts w:eastAsia="Book Antiqua"/>
          <w:color w:val="111111"/>
          <w:highlight w:val="white"/>
          <w:lang w:val="en-GB"/>
        </w:rPr>
        <w:tab/>
      </w:r>
      <w:r>
        <w:rPr>
          <w:rFonts w:eastAsia="Book Antiqua"/>
          <w:color w:val="111111"/>
          <w:highlight w:val="white"/>
          <w:lang w:val="en-GB"/>
        </w:rPr>
        <w:tab/>
      </w:r>
      <w:r w:rsidR="00D5285D" w:rsidRPr="00D5285D">
        <w:rPr>
          <w:rFonts w:eastAsia="Book Antiqua"/>
          <w:color w:val="111111"/>
          <w:highlight w:val="white"/>
          <w:lang w:val="en-GB"/>
        </w:rPr>
        <w:t>Engineering governance refers to the institutional rules, standards, policy instruments, data infrastructures, cybersecurity frameworks, workforce programs, and industrial coordination mechanisms that shape technological implementation. Technological integration refers to the engineering process of connecting sensors, robotics, digital twins, AI models, industrial networks, enterprise systems, and human-machine interfaces into coherent cyber-physical production systems. Industrial innovation refers to improvements in quality control, predictive maintenance, adaptive scheduling, process optimization, supply-chain coordination, and product-service systems. Sustainability performance refers to measurable improvements in energy efficiency, material productivity, waste reduction, lifecycle traceability, emissions reduction, and circular manufacturing. Socio-economic resilience refers to manufacturing competitiveness, SME upgrading, skilled employment, regional industrial capacity, supply-chain robustness, and adaptive capacity under technological and climate uncertainty.</w:t>
      </w:r>
    </w:p>
    <w:p w14:paraId="213EECCF" w14:textId="77777777" w:rsidR="00D5285D" w:rsidRPr="00D5285D" w:rsidRDefault="00D5285D" w:rsidP="001E768A">
      <w:pPr>
        <w:pStyle w:val="BodyText"/>
        <w:spacing w:before="236" w:line="360" w:lineRule="auto"/>
        <w:ind w:right="136"/>
        <w:rPr>
          <w:rFonts w:eastAsia="Book Antiqua"/>
          <w:color w:val="111111"/>
          <w:highlight w:val="white"/>
          <w:lang w:val="en-GB"/>
        </w:rPr>
      </w:pPr>
      <w:r w:rsidRPr="00D5285D">
        <w:rPr>
          <w:rFonts w:eastAsia="Book Antiqua"/>
          <w:color w:val="111111"/>
          <w:highlight w:val="white"/>
          <w:lang w:val="en-GB"/>
        </w:rPr>
        <w:t>The model advances three theoretical propositions.</w:t>
      </w:r>
    </w:p>
    <w:p w14:paraId="060F8696" w14:textId="77777777" w:rsidR="00D5285D" w:rsidRPr="00D5285D" w:rsidRDefault="00D5285D" w:rsidP="001E768A">
      <w:pPr>
        <w:pStyle w:val="BodyText"/>
        <w:spacing w:before="236" w:line="360" w:lineRule="auto"/>
        <w:ind w:right="136"/>
        <w:jc w:val="left"/>
        <w:rPr>
          <w:rFonts w:eastAsia="Book Antiqua"/>
          <w:color w:val="111111"/>
          <w:highlight w:val="white"/>
          <w:lang w:val="en-GB"/>
        </w:rPr>
      </w:pPr>
      <w:r w:rsidRPr="00D5285D">
        <w:rPr>
          <w:rFonts w:eastAsia="Book Antiqua"/>
          <w:b/>
          <w:bCs/>
          <w:color w:val="111111"/>
          <w:highlight w:val="white"/>
          <w:lang w:val="en-GB"/>
        </w:rPr>
        <w:lastRenderedPageBreak/>
        <w:t>Proposition 1: Smart manufacturing creates industrial value only when engineering architectures are matched by institutional interoperability.</w:t>
      </w:r>
      <w:r w:rsidRPr="00D5285D">
        <w:rPr>
          <w:rFonts w:eastAsia="Book Antiqua"/>
          <w:color w:val="111111"/>
          <w:highlight w:val="white"/>
          <w:lang w:val="en-GB"/>
        </w:rPr>
        <w:br/>
        <w:t>Germany illustrates the value of standards, reference architectures, and industrial coordination. South Korea illustrates the value of state-supported implementation and AI infrastructure. In both cases, technology becomes productive when firms, regulators, research institutions, and suppliers operate within compatible data and governance systems.</w:t>
      </w:r>
    </w:p>
    <w:p w14:paraId="1CAAE39D" w14:textId="77777777" w:rsidR="00D5285D" w:rsidRPr="00D5285D" w:rsidRDefault="00D5285D" w:rsidP="001E768A">
      <w:pPr>
        <w:pStyle w:val="BodyText"/>
        <w:spacing w:before="236" w:line="360" w:lineRule="auto"/>
        <w:ind w:right="136"/>
        <w:jc w:val="left"/>
        <w:rPr>
          <w:rFonts w:eastAsia="Book Antiqua"/>
          <w:color w:val="111111"/>
          <w:highlight w:val="white"/>
          <w:lang w:val="en-GB"/>
        </w:rPr>
      </w:pPr>
      <w:r w:rsidRPr="00D5285D">
        <w:rPr>
          <w:rFonts w:eastAsia="Book Antiqua"/>
          <w:b/>
          <w:bCs/>
          <w:color w:val="111111"/>
          <w:highlight w:val="white"/>
          <w:lang w:val="en-GB"/>
        </w:rPr>
        <w:t>Proposition 2: AI-enabled optimization improves sustainability only when environmental variables are embedded into industrial control objectives.</w:t>
      </w:r>
      <w:r w:rsidRPr="00D5285D">
        <w:rPr>
          <w:rFonts w:eastAsia="Book Antiqua"/>
          <w:color w:val="111111"/>
          <w:highlight w:val="white"/>
          <w:lang w:val="en-GB"/>
        </w:rPr>
        <w:br/>
        <w:t>Predictive maintenance, process optimization, and digital twins can reduce energy and material waste, but these benefits require explicit sustainability metrics. If AI optimizes only throughput or cost, sustainability effects may be weak or offset by rebound effects.</w:t>
      </w:r>
    </w:p>
    <w:p w14:paraId="62EABD93" w14:textId="77777777" w:rsidR="00D5285D" w:rsidRPr="00D5285D" w:rsidRDefault="00D5285D" w:rsidP="001E768A">
      <w:pPr>
        <w:pStyle w:val="BodyText"/>
        <w:spacing w:before="236" w:line="360" w:lineRule="auto"/>
        <w:ind w:right="136"/>
        <w:jc w:val="left"/>
        <w:rPr>
          <w:rFonts w:eastAsia="Book Antiqua"/>
          <w:color w:val="111111"/>
          <w:highlight w:val="white"/>
          <w:lang w:val="en-GB"/>
        </w:rPr>
      </w:pPr>
      <w:r w:rsidRPr="00D5285D">
        <w:rPr>
          <w:rFonts w:eastAsia="Book Antiqua"/>
          <w:b/>
          <w:bCs/>
          <w:color w:val="111111"/>
          <w:highlight w:val="white"/>
          <w:lang w:val="en-GB"/>
        </w:rPr>
        <w:t>Proposition 3: Industrial resilience depends on human-centered automation rather than technological substitution alone.</w:t>
      </w:r>
      <w:r w:rsidRPr="00D5285D">
        <w:rPr>
          <w:rFonts w:eastAsia="Book Antiqua"/>
          <w:color w:val="111111"/>
          <w:highlight w:val="white"/>
          <w:lang w:val="en-GB"/>
        </w:rPr>
        <w:br/>
        <w:t>Robotics and AI improve productivity, but resilient smart manufacturing systems require skilled operators, engineers, and managers capable of interpreting, supervising, maintaining, and improving AI-enabled systems. Workforce capability is therefore a core engineering variable.</w:t>
      </w:r>
    </w:p>
    <w:p w14:paraId="6539ECFB" w14:textId="77777777" w:rsidR="00D5285D" w:rsidRPr="00F900E2" w:rsidRDefault="00D5285D" w:rsidP="001E768A">
      <w:pPr>
        <w:pStyle w:val="BodyText"/>
        <w:spacing w:before="236" w:line="360" w:lineRule="auto"/>
        <w:ind w:right="136"/>
        <w:rPr>
          <w:rFonts w:eastAsia="Book Antiqua"/>
          <w:color w:val="111111"/>
          <w:highlight w:val="white"/>
        </w:rPr>
      </w:pPr>
    </w:p>
    <w:p w14:paraId="009BEC53" w14:textId="77777777" w:rsidR="00CA0D37" w:rsidRDefault="00CA0D37" w:rsidP="001E768A">
      <w:pPr>
        <w:pStyle w:val="BodyText"/>
        <w:spacing w:before="125" w:line="360" w:lineRule="auto"/>
        <w:ind w:left="0"/>
        <w:jc w:val="left"/>
        <w:rPr>
          <w:sz w:val="20"/>
        </w:rPr>
      </w:pPr>
    </w:p>
    <w:p w14:paraId="26F2742E" w14:textId="77777777" w:rsidR="00CA0D37" w:rsidRDefault="00CA0D37" w:rsidP="001E768A">
      <w:pPr>
        <w:pStyle w:val="BodyText"/>
        <w:spacing w:before="95" w:line="360" w:lineRule="auto"/>
        <w:ind w:left="0"/>
        <w:jc w:val="left"/>
      </w:pPr>
    </w:p>
    <w:p w14:paraId="3E5FC57A" w14:textId="77777777" w:rsidR="00CA0D37" w:rsidRDefault="00BE4D62" w:rsidP="001E768A">
      <w:pPr>
        <w:pStyle w:val="Heading1"/>
        <w:spacing w:before="1" w:line="360" w:lineRule="auto"/>
      </w:pPr>
      <w:r>
        <w:rPr>
          <w:spacing w:val="-2"/>
        </w:rPr>
        <w:t>CONCLUSION</w:t>
      </w:r>
    </w:p>
    <w:p w14:paraId="7EE1A2A4" w14:textId="441BF48E" w:rsidR="00064C00" w:rsidRPr="00064C00" w:rsidRDefault="00064C00" w:rsidP="001E768A">
      <w:pPr>
        <w:pStyle w:val="BodyText"/>
        <w:spacing w:before="238" w:line="360" w:lineRule="auto"/>
        <w:ind w:right="135"/>
        <w:rPr>
          <w:spacing w:val="-6"/>
        </w:rPr>
      </w:pPr>
      <w:r>
        <w:rPr>
          <w:spacing w:val="-6"/>
        </w:rPr>
        <w:tab/>
      </w:r>
      <w:r>
        <w:rPr>
          <w:spacing w:val="-6"/>
        </w:rPr>
        <w:tab/>
      </w:r>
      <w:r w:rsidRPr="00064C00">
        <w:rPr>
          <w:lang w:val="en-GB"/>
        </w:rPr>
        <w:t>This article examined how Germany’s Industrie 4.0 model and South Korea’s AI autonomous manufacturing model shape AI-enabled engineering implementation and how these models influence industrial performance, sustainability outcomes, and socio-economic development. The analysis demonstrates that smart manufacturing is not merely the adoption of robotics, sensors, AI software, or digital twins. It is a complex socio-technical transformation in which engineering architectures and governance institutions jointly determine technological performance.</w:t>
      </w:r>
    </w:p>
    <w:p w14:paraId="312969E3" w14:textId="2E942E63" w:rsidR="00064C00" w:rsidRPr="00064C00" w:rsidRDefault="00064C00" w:rsidP="001E768A">
      <w:pPr>
        <w:pStyle w:val="BodyText"/>
        <w:spacing w:before="238" w:line="360" w:lineRule="auto"/>
        <w:ind w:right="135"/>
        <w:rPr>
          <w:lang w:val="en-GB"/>
        </w:rPr>
      </w:pPr>
      <w:r>
        <w:rPr>
          <w:lang w:val="en-GB"/>
        </w:rPr>
        <w:tab/>
      </w:r>
      <w:r>
        <w:rPr>
          <w:lang w:val="en-GB"/>
        </w:rPr>
        <w:tab/>
      </w:r>
      <w:r w:rsidRPr="00064C00">
        <w:rPr>
          <w:lang w:val="en-GB"/>
        </w:rPr>
        <w:t>The main analytical finding is that Germany and South Korea represent different but complementary pathways to smart manufacturing. Germany’s model emphasizes interoperability, standardization, digital twin reference architectures, industrial ecosystems, and engineering reliability. This approach strengthens long-term systems integration and supports complex value-chain coordination, but it may face slower diffusion among SMEs with limited digital capacity. South Korea’s model emphasizes robotics intensity, AI-based manufacturing transformation, smart factory support, SME adoption programs, and state-coordinated industrial policy. This approach accelerates implementation and productivity upgrading, but it must manage data governance, technological dependency, workforce transition, and sustainability measurement.</w:t>
      </w:r>
    </w:p>
    <w:p w14:paraId="1CCFEA21" w14:textId="56D38BED" w:rsidR="00064C00" w:rsidRPr="00064C00" w:rsidRDefault="00064C00" w:rsidP="001E768A">
      <w:pPr>
        <w:pStyle w:val="BodyText"/>
        <w:spacing w:before="238" w:line="360" w:lineRule="auto"/>
        <w:ind w:right="135"/>
        <w:rPr>
          <w:lang w:val="en-GB"/>
        </w:rPr>
      </w:pPr>
      <w:r>
        <w:rPr>
          <w:lang w:val="en-GB"/>
        </w:rPr>
        <w:tab/>
      </w:r>
      <w:r>
        <w:rPr>
          <w:lang w:val="en-GB"/>
        </w:rPr>
        <w:tab/>
      </w:r>
      <w:r w:rsidRPr="00064C00">
        <w:rPr>
          <w:lang w:val="en-GB"/>
        </w:rPr>
        <w:t>The theoretical contribution of the article is to conceptualize smart manufacturing as a governance-</w:t>
      </w:r>
      <w:r w:rsidRPr="00064C00">
        <w:rPr>
          <w:lang w:val="en-GB"/>
        </w:rPr>
        <w:lastRenderedPageBreak/>
        <w:t>mediated engineering system. The article shows that cyber-physical systems generate value only when supported by institutional interoperability, data quality, workforce capability, and sustainability-oriented control objectives. It contributes empirically by comparing two advanced manufacturing economies using technological, institutional, and sustainability variables. It contributes to engineering governance scholarship by demonstrating that standards, public investment, digital infrastructure, and industrial policy are not external to engineering performance; they are constitutive of system-level outcomes.</w:t>
      </w:r>
    </w:p>
    <w:p w14:paraId="6F55C475" w14:textId="398F661E" w:rsidR="00064C00" w:rsidRPr="00064C00" w:rsidRDefault="00064C00" w:rsidP="001E768A">
      <w:pPr>
        <w:pStyle w:val="BodyText"/>
        <w:spacing w:before="238" w:line="360" w:lineRule="auto"/>
        <w:ind w:right="135"/>
        <w:rPr>
          <w:lang w:val="en-GB"/>
        </w:rPr>
      </w:pPr>
      <w:r>
        <w:rPr>
          <w:lang w:val="en-GB"/>
        </w:rPr>
        <w:tab/>
      </w:r>
      <w:r>
        <w:rPr>
          <w:lang w:val="en-GB"/>
        </w:rPr>
        <w:tab/>
      </w:r>
      <w:r w:rsidRPr="00064C00">
        <w:rPr>
          <w:lang w:val="en-GB"/>
        </w:rPr>
        <w:t>The engineering implications are significant. Smart manufacturing initiatives should prioritize integration depth rather than isolated technology adoption. Digital twin implementation should include lifecycle data, interoperability standards, and sustainability variables. AI models should be evaluated through reliability, explainability, cybersecurity, energy impact, and human usability. Robotics deployment should be linked to process redesign and workforce capability development. SME programs should combine financial support with technical assistance, standards compliance, data governance, and sustainability auditing.</w:t>
      </w:r>
    </w:p>
    <w:p w14:paraId="485EBFDA" w14:textId="2BEFC368" w:rsidR="00064C00" w:rsidRPr="00064C00" w:rsidRDefault="00064C00" w:rsidP="001E768A">
      <w:pPr>
        <w:pStyle w:val="BodyText"/>
        <w:spacing w:before="238" w:line="360" w:lineRule="auto"/>
        <w:ind w:right="135"/>
        <w:rPr>
          <w:lang w:val="en-GB"/>
        </w:rPr>
      </w:pPr>
      <w:r>
        <w:rPr>
          <w:lang w:val="en-GB"/>
        </w:rPr>
        <w:tab/>
      </w:r>
      <w:r>
        <w:rPr>
          <w:lang w:val="en-GB"/>
        </w:rPr>
        <w:tab/>
      </w:r>
      <w:r w:rsidRPr="00064C00">
        <w:rPr>
          <w:lang w:val="en-GB"/>
        </w:rPr>
        <w:t>The industrial and innovation policy implications are equally important. Governments should avoid treating smart manufacturing as equipment modernization alone. Effective policy requires coordinated support for standards, testbeds, industrial data spaces, AI model validation, cybersecurity, training, and green manufacturing metrics. Germany can strengthen diffusion by simplifying SME adoption pathways and providing more targeted implementation support. South Korea can strengthen long-term resilience by deepening interoperability standards, transparent data governance, and sustainability accountability within AI manufacturing programs.</w:t>
      </w:r>
    </w:p>
    <w:p w14:paraId="75F2F811" w14:textId="27618A87" w:rsidR="00064C00" w:rsidRPr="00064C00" w:rsidRDefault="00064C00" w:rsidP="001E768A">
      <w:pPr>
        <w:pStyle w:val="BodyText"/>
        <w:spacing w:before="238" w:line="360" w:lineRule="auto"/>
        <w:ind w:right="135"/>
        <w:rPr>
          <w:lang w:val="en-GB"/>
        </w:rPr>
      </w:pPr>
      <w:r>
        <w:rPr>
          <w:lang w:val="en-GB"/>
        </w:rPr>
        <w:tab/>
      </w:r>
      <w:r>
        <w:rPr>
          <w:lang w:val="en-GB"/>
        </w:rPr>
        <w:tab/>
      </w:r>
      <w:r w:rsidRPr="00064C00">
        <w:rPr>
          <w:lang w:val="en-GB"/>
        </w:rPr>
        <w:t>The sustainability and development implications are clear. AI-enabled smart manufacturing can contribute to resource efficiency, emissions reduction, circular production, productivity, and regional industrial resilience. However, these benefits are conditional. Without sustainability metrics, digitalization may increase production and energy demand without reducing environmental impact. Without workforce transition, automation may undermine social resilience. Without SME inclusion, smart manufacturing may widen industrial inequality. Sustainable industrial transformation therefore requires a balanced architecture linking engineering design, institutional governance, and socio-economic development.</w:t>
      </w:r>
    </w:p>
    <w:p w14:paraId="05239745" w14:textId="42325E54" w:rsidR="00064C00" w:rsidRPr="00064C00" w:rsidRDefault="00064C00" w:rsidP="001E768A">
      <w:pPr>
        <w:pStyle w:val="BodyText"/>
        <w:spacing w:before="238" w:line="360" w:lineRule="auto"/>
        <w:ind w:right="135"/>
        <w:rPr>
          <w:lang w:val="en-GB"/>
        </w:rPr>
      </w:pPr>
      <w:r>
        <w:rPr>
          <w:lang w:val="en-GB"/>
        </w:rPr>
        <w:tab/>
      </w:r>
      <w:r>
        <w:rPr>
          <w:lang w:val="en-GB"/>
        </w:rPr>
        <w:tab/>
      </w:r>
      <w:r w:rsidRPr="00064C00">
        <w:rPr>
          <w:lang w:val="en-GB"/>
        </w:rPr>
        <w:t>The study has limitations. It relies on public datasets, policy documents, and secondary literature rather than proprietary factory-level performance data. Sectoral differences within Germany and South Korea are substantial, and smart manufacturing implementation varies across automotive, electronics, machinery, shipbuilding, chemicals, and semiconductors. Future research should use firm-level panel data, digital twin performance datasets, lifecycle assessment, energy monitoring, and longitudinal SME adoption studies to evaluate causal impacts more precisely. Comparative research should also include China, Japan, the United States, Singapore, and the European Union to test whether the model applies across different industrial governance regimes.</w:t>
      </w:r>
    </w:p>
    <w:p w14:paraId="416EE58B" w14:textId="0368C410" w:rsidR="00064C00" w:rsidRPr="00064C00" w:rsidRDefault="00064C00" w:rsidP="001E768A">
      <w:pPr>
        <w:pStyle w:val="BodyText"/>
        <w:spacing w:before="238" w:line="360" w:lineRule="auto"/>
        <w:ind w:right="135"/>
        <w:rPr>
          <w:lang w:val="en-GB"/>
        </w:rPr>
      </w:pPr>
      <w:r>
        <w:rPr>
          <w:lang w:val="en-GB"/>
        </w:rPr>
        <w:tab/>
      </w:r>
      <w:r>
        <w:rPr>
          <w:lang w:val="en-GB"/>
        </w:rPr>
        <w:tab/>
      </w:r>
      <w:r w:rsidRPr="00064C00">
        <w:rPr>
          <w:lang w:val="en-GB"/>
        </w:rPr>
        <w:t xml:space="preserve">The central conclusion is that AI-enabled smart manufacturing contributes to sustainable socio-economic development only when science, engineering, technology, governance, and industrial policy are </w:t>
      </w:r>
      <w:r w:rsidRPr="00064C00">
        <w:rPr>
          <w:lang w:val="en-GB"/>
        </w:rPr>
        <w:lastRenderedPageBreak/>
        <w:t>integrated. Germany demonstrates the importance of interoperability and engineering standards. South Korea demonstrates the importance of coordinated adoption and AI-driven industrial upgrading. The future of sustainable manufacturing will depend not simply on more intelligent machines, but on the capacity of societies to govern intelligent production systems responsibly, inclusively, and sustainably.</w:t>
      </w:r>
    </w:p>
    <w:p w14:paraId="686D54DD" w14:textId="77777777" w:rsidR="00064C00" w:rsidRDefault="00064C00" w:rsidP="001E768A">
      <w:pPr>
        <w:pStyle w:val="BodyText"/>
        <w:spacing w:before="238" w:line="360" w:lineRule="auto"/>
        <w:ind w:right="135"/>
      </w:pPr>
    </w:p>
    <w:p w14:paraId="2D16072E" w14:textId="77777777" w:rsidR="00CA0D37" w:rsidRDefault="00CA0D37" w:rsidP="001E768A">
      <w:pPr>
        <w:pStyle w:val="BodyText"/>
        <w:spacing w:before="100" w:line="360" w:lineRule="auto"/>
        <w:ind w:left="0"/>
        <w:jc w:val="left"/>
      </w:pPr>
    </w:p>
    <w:p w14:paraId="411E4774" w14:textId="77777777" w:rsidR="00CA0D37" w:rsidRDefault="00BE4D62" w:rsidP="001E768A">
      <w:pPr>
        <w:pStyle w:val="Heading1"/>
        <w:spacing w:line="360" w:lineRule="auto"/>
      </w:pPr>
      <w:r>
        <w:rPr>
          <w:spacing w:val="-2"/>
        </w:rPr>
        <w:t>REFERENCES</w:t>
      </w:r>
    </w:p>
    <w:p w14:paraId="71734834" w14:textId="77777777" w:rsidR="00CA0D37" w:rsidRDefault="00CA0D37" w:rsidP="001E768A">
      <w:pPr>
        <w:pStyle w:val="BodyText"/>
        <w:spacing w:line="360" w:lineRule="auto"/>
      </w:pPr>
    </w:p>
    <w:p w14:paraId="6E1453D5" w14:textId="61A23E7A" w:rsidR="00C52B1C" w:rsidRPr="00C52B1C" w:rsidRDefault="00C52B1C" w:rsidP="001E768A">
      <w:pPr>
        <w:pStyle w:val="BodyText"/>
        <w:spacing w:line="360" w:lineRule="auto"/>
      </w:pPr>
      <w:r>
        <w:tab/>
      </w:r>
      <w:r w:rsidRPr="00C52B1C">
        <w:rPr>
          <w:i/>
        </w:rPr>
        <w:t>Acemoglu, D., &amp; Restrepo, P. (2019). Automation and new tasks: How technology displaces and reinstates labor. Journal of Economic Perspectives, 33(2), 3–30.</w:t>
      </w:r>
    </w:p>
    <w:p w14:paraId="1CE10ADE" w14:textId="77777777" w:rsidR="00C52B1C" w:rsidRPr="00C52B1C" w:rsidRDefault="00C52B1C" w:rsidP="001E768A">
      <w:pPr>
        <w:spacing w:line="360" w:lineRule="auto"/>
        <w:ind w:left="1068" w:right="139" w:hanging="360"/>
        <w:jc w:val="both"/>
        <w:rPr>
          <w:i/>
        </w:rPr>
      </w:pPr>
    </w:p>
    <w:p w14:paraId="006A9D20" w14:textId="77777777" w:rsidR="00C52B1C" w:rsidRPr="00C52B1C" w:rsidRDefault="00C52B1C" w:rsidP="001E768A">
      <w:pPr>
        <w:spacing w:line="360" w:lineRule="auto"/>
        <w:ind w:left="1068" w:right="139" w:hanging="360"/>
        <w:jc w:val="both"/>
        <w:rPr>
          <w:i/>
        </w:rPr>
      </w:pPr>
      <w:r w:rsidRPr="00C52B1C">
        <w:rPr>
          <w:i/>
        </w:rPr>
        <w:t>Brynjolfsson, E., &amp; McAfee, A. (2014). The second machine age: Work, progress, and prosperity in a time of brilliant technologies. W. W. Norton.</w:t>
      </w:r>
    </w:p>
    <w:p w14:paraId="151A8A20" w14:textId="77777777" w:rsidR="00C52B1C" w:rsidRPr="00C52B1C" w:rsidRDefault="00C52B1C" w:rsidP="001E768A">
      <w:pPr>
        <w:spacing w:line="360" w:lineRule="auto"/>
        <w:ind w:left="1068" w:right="139" w:hanging="360"/>
        <w:jc w:val="both"/>
        <w:rPr>
          <w:i/>
        </w:rPr>
      </w:pPr>
    </w:p>
    <w:p w14:paraId="3631BBA1" w14:textId="77777777" w:rsidR="00C52B1C" w:rsidRPr="00C52B1C" w:rsidRDefault="00C52B1C" w:rsidP="001E768A">
      <w:pPr>
        <w:spacing w:line="360" w:lineRule="auto"/>
        <w:ind w:left="1068" w:right="139" w:hanging="360"/>
        <w:jc w:val="both"/>
        <w:rPr>
          <w:i/>
        </w:rPr>
      </w:pPr>
      <w:r w:rsidRPr="00C52B1C">
        <w:rPr>
          <w:i/>
        </w:rPr>
        <w:t>Federal Ministry for Economic Affairs and Climate Action. (2024). Industrie 4.0: Digital production processes for Germany’s manufacturing base. German Federal Government.</w:t>
      </w:r>
    </w:p>
    <w:p w14:paraId="2CF7D1D7" w14:textId="77777777" w:rsidR="00C52B1C" w:rsidRPr="00C52B1C" w:rsidRDefault="00C52B1C" w:rsidP="001E768A">
      <w:pPr>
        <w:spacing w:line="360" w:lineRule="auto"/>
        <w:ind w:left="1068" w:right="139" w:hanging="360"/>
        <w:jc w:val="both"/>
        <w:rPr>
          <w:i/>
        </w:rPr>
      </w:pPr>
    </w:p>
    <w:p w14:paraId="3A39E5B2" w14:textId="77777777" w:rsidR="00C52B1C" w:rsidRPr="00C52B1C" w:rsidRDefault="00C52B1C" w:rsidP="001E768A">
      <w:pPr>
        <w:spacing w:line="360" w:lineRule="auto"/>
        <w:ind w:left="1068" w:right="139" w:hanging="360"/>
        <w:jc w:val="both"/>
        <w:rPr>
          <w:i/>
        </w:rPr>
      </w:pPr>
      <w:r w:rsidRPr="00C52B1C">
        <w:rPr>
          <w:i/>
        </w:rPr>
        <w:t>Fuller, A., Fan, Z., Day, C., &amp; Barlow, C. (2020). Digital twin: Enabling technologies, challenges and open research. IEEE Access, 8, 108952–108971.</w:t>
      </w:r>
    </w:p>
    <w:p w14:paraId="5A2DA72B" w14:textId="77777777" w:rsidR="00C52B1C" w:rsidRPr="00C52B1C" w:rsidRDefault="00C52B1C" w:rsidP="001E768A">
      <w:pPr>
        <w:spacing w:line="360" w:lineRule="auto"/>
        <w:ind w:left="1068" w:right="139" w:hanging="360"/>
        <w:jc w:val="both"/>
        <w:rPr>
          <w:i/>
        </w:rPr>
      </w:pPr>
    </w:p>
    <w:p w14:paraId="2472FDBB" w14:textId="77777777" w:rsidR="00C52B1C" w:rsidRPr="00C52B1C" w:rsidRDefault="00C52B1C" w:rsidP="001E768A">
      <w:pPr>
        <w:spacing w:line="360" w:lineRule="auto"/>
        <w:ind w:left="1068" w:right="139" w:hanging="360"/>
        <w:jc w:val="both"/>
        <w:rPr>
          <w:i/>
        </w:rPr>
      </w:pPr>
      <w:r w:rsidRPr="00C52B1C">
        <w:rPr>
          <w:i/>
        </w:rPr>
        <w:t>Geels, F. W. (2020). Micro-foundations of the multi-level perspective on socio-technical transitions: Developing a multi-dimensional model of agency through crossovers between social constructivism, evolutionary economics and neo-institutional theory. Technological Forecasting and Social Change, 152, 119894.</w:t>
      </w:r>
    </w:p>
    <w:p w14:paraId="6A7CB1FE" w14:textId="77777777" w:rsidR="00C52B1C" w:rsidRPr="00C52B1C" w:rsidRDefault="00C52B1C" w:rsidP="001E768A">
      <w:pPr>
        <w:spacing w:line="360" w:lineRule="auto"/>
        <w:ind w:left="1068" w:right="139" w:hanging="360"/>
        <w:jc w:val="both"/>
        <w:rPr>
          <w:i/>
        </w:rPr>
      </w:pPr>
    </w:p>
    <w:p w14:paraId="4CC54CEB" w14:textId="77777777" w:rsidR="00C52B1C" w:rsidRPr="00C52B1C" w:rsidRDefault="00C52B1C" w:rsidP="001E768A">
      <w:pPr>
        <w:spacing w:line="360" w:lineRule="auto"/>
        <w:ind w:left="1068" w:right="139" w:hanging="360"/>
        <w:jc w:val="both"/>
        <w:rPr>
          <w:i/>
        </w:rPr>
      </w:pPr>
      <w:r w:rsidRPr="00C52B1C">
        <w:rPr>
          <w:i/>
        </w:rPr>
        <w:t>Ghobakhloo, M. (2020). Industry 4.0, digitization, and opportunities for sustainability. Journal of Cleaner Production, 252, 119869.</w:t>
      </w:r>
    </w:p>
    <w:p w14:paraId="48249F93" w14:textId="77777777" w:rsidR="00C52B1C" w:rsidRPr="00C52B1C" w:rsidRDefault="00C52B1C" w:rsidP="001E768A">
      <w:pPr>
        <w:spacing w:line="360" w:lineRule="auto"/>
        <w:ind w:left="1068" w:right="139" w:hanging="360"/>
        <w:jc w:val="both"/>
        <w:rPr>
          <w:i/>
        </w:rPr>
      </w:pPr>
    </w:p>
    <w:p w14:paraId="400A99D4" w14:textId="77777777" w:rsidR="00C52B1C" w:rsidRPr="00C52B1C" w:rsidRDefault="00C52B1C" w:rsidP="001E768A">
      <w:pPr>
        <w:spacing w:line="360" w:lineRule="auto"/>
        <w:ind w:left="1068" w:right="139" w:hanging="360"/>
        <w:jc w:val="both"/>
        <w:rPr>
          <w:i/>
        </w:rPr>
      </w:pPr>
      <w:r w:rsidRPr="00C52B1C">
        <w:rPr>
          <w:i/>
        </w:rPr>
        <w:t>International Energy Agency. (2017). Digitalisation and energy. IEA.</w:t>
      </w:r>
    </w:p>
    <w:p w14:paraId="71BC222B" w14:textId="77777777" w:rsidR="00C52B1C" w:rsidRPr="00C52B1C" w:rsidRDefault="00C52B1C" w:rsidP="001E768A">
      <w:pPr>
        <w:spacing w:line="360" w:lineRule="auto"/>
        <w:ind w:left="1068" w:right="139" w:hanging="360"/>
        <w:jc w:val="both"/>
        <w:rPr>
          <w:i/>
        </w:rPr>
      </w:pPr>
    </w:p>
    <w:p w14:paraId="5977C8C0" w14:textId="77777777" w:rsidR="00C52B1C" w:rsidRPr="00C52B1C" w:rsidRDefault="00C52B1C" w:rsidP="001E768A">
      <w:pPr>
        <w:spacing w:line="360" w:lineRule="auto"/>
        <w:ind w:left="1068" w:right="139" w:hanging="360"/>
        <w:jc w:val="both"/>
        <w:rPr>
          <w:i/>
        </w:rPr>
      </w:pPr>
      <w:r w:rsidRPr="00C52B1C">
        <w:rPr>
          <w:i/>
        </w:rPr>
        <w:t>International Energy Agency. (2024). Energy efficiency 2024. IEA.</w:t>
      </w:r>
    </w:p>
    <w:p w14:paraId="635D54C6" w14:textId="77777777" w:rsidR="00C52B1C" w:rsidRPr="00C52B1C" w:rsidRDefault="00C52B1C" w:rsidP="001E768A">
      <w:pPr>
        <w:spacing w:line="360" w:lineRule="auto"/>
        <w:ind w:left="1068" w:right="139" w:hanging="360"/>
        <w:jc w:val="both"/>
        <w:rPr>
          <w:i/>
        </w:rPr>
      </w:pPr>
    </w:p>
    <w:p w14:paraId="0E8A26C5" w14:textId="77777777" w:rsidR="00C52B1C" w:rsidRPr="00C52B1C" w:rsidRDefault="00C52B1C" w:rsidP="001E768A">
      <w:pPr>
        <w:spacing w:line="360" w:lineRule="auto"/>
        <w:ind w:left="1068" w:right="139" w:hanging="360"/>
        <w:jc w:val="both"/>
        <w:rPr>
          <w:i/>
        </w:rPr>
      </w:pPr>
      <w:r w:rsidRPr="00C52B1C">
        <w:rPr>
          <w:i/>
        </w:rPr>
        <w:t>International Energy Agency. (2024). Energy technology perspectives 2024. IEA.</w:t>
      </w:r>
    </w:p>
    <w:p w14:paraId="64FE0A30" w14:textId="77777777" w:rsidR="00C52B1C" w:rsidRPr="00C52B1C" w:rsidRDefault="00C52B1C" w:rsidP="001E768A">
      <w:pPr>
        <w:spacing w:line="360" w:lineRule="auto"/>
        <w:ind w:left="1068" w:right="139" w:hanging="360"/>
        <w:jc w:val="both"/>
        <w:rPr>
          <w:i/>
        </w:rPr>
      </w:pPr>
    </w:p>
    <w:p w14:paraId="00D9BD3E" w14:textId="77777777" w:rsidR="00C52B1C" w:rsidRPr="00C52B1C" w:rsidRDefault="00C52B1C" w:rsidP="001E768A">
      <w:pPr>
        <w:spacing w:line="360" w:lineRule="auto"/>
        <w:ind w:left="1068" w:right="139" w:hanging="360"/>
        <w:jc w:val="both"/>
        <w:rPr>
          <w:i/>
        </w:rPr>
      </w:pPr>
      <w:r w:rsidRPr="00C52B1C">
        <w:rPr>
          <w:i/>
        </w:rPr>
        <w:t>International Federation of Robotics. (2024). World robotics 2024: Industrial robots. IFR.</w:t>
      </w:r>
    </w:p>
    <w:p w14:paraId="3C3D92EB" w14:textId="77777777" w:rsidR="00C52B1C" w:rsidRPr="00C52B1C" w:rsidRDefault="00C52B1C" w:rsidP="001E768A">
      <w:pPr>
        <w:spacing w:line="360" w:lineRule="auto"/>
        <w:ind w:left="1068" w:right="139" w:hanging="360"/>
        <w:jc w:val="both"/>
        <w:rPr>
          <w:i/>
        </w:rPr>
      </w:pPr>
    </w:p>
    <w:p w14:paraId="213A1F56" w14:textId="77777777" w:rsidR="00C52B1C" w:rsidRPr="00C52B1C" w:rsidRDefault="00C52B1C" w:rsidP="001E768A">
      <w:pPr>
        <w:spacing w:line="360" w:lineRule="auto"/>
        <w:ind w:left="1068" w:right="139" w:hanging="360"/>
        <w:jc w:val="both"/>
        <w:rPr>
          <w:i/>
        </w:rPr>
      </w:pPr>
      <w:r w:rsidRPr="00C52B1C">
        <w:rPr>
          <w:i/>
        </w:rPr>
        <w:t>Javaid, M., Haleem, A., Singh, R. P., &amp; Suman, R. (2022). Artificial intelligence applications for Industry 4.0: A literature-based study. Journal of Industrial Integration and Management, 7(1), 83–111.</w:t>
      </w:r>
    </w:p>
    <w:p w14:paraId="4DD0DCA4" w14:textId="77777777" w:rsidR="00C52B1C" w:rsidRPr="00C52B1C" w:rsidRDefault="00C52B1C" w:rsidP="001E768A">
      <w:pPr>
        <w:spacing w:line="360" w:lineRule="auto"/>
        <w:ind w:left="1068" w:right="139" w:hanging="360"/>
        <w:jc w:val="both"/>
        <w:rPr>
          <w:i/>
        </w:rPr>
      </w:pPr>
    </w:p>
    <w:p w14:paraId="60AD5478" w14:textId="77777777" w:rsidR="00C52B1C" w:rsidRPr="00C52B1C" w:rsidRDefault="00C52B1C" w:rsidP="001E768A">
      <w:pPr>
        <w:spacing w:line="360" w:lineRule="auto"/>
        <w:ind w:left="1068" w:right="139" w:hanging="360"/>
        <w:jc w:val="both"/>
        <w:rPr>
          <w:i/>
        </w:rPr>
      </w:pPr>
      <w:r w:rsidRPr="00C52B1C">
        <w:rPr>
          <w:i/>
        </w:rPr>
        <w:t>Kagermann, H., Wahlster, W., &amp; Helbig, J. (2013). Recommendations for implementing the strategic initiative Industrie 4.0. National Academy of Science and Engineering.</w:t>
      </w:r>
    </w:p>
    <w:p w14:paraId="748E7813" w14:textId="77777777" w:rsidR="00C52B1C" w:rsidRPr="00C52B1C" w:rsidRDefault="00C52B1C" w:rsidP="001E768A">
      <w:pPr>
        <w:spacing w:line="360" w:lineRule="auto"/>
        <w:ind w:left="1068" w:right="139" w:hanging="360"/>
        <w:jc w:val="both"/>
        <w:rPr>
          <w:i/>
        </w:rPr>
      </w:pPr>
    </w:p>
    <w:p w14:paraId="18A1741B" w14:textId="77777777" w:rsidR="00C52B1C" w:rsidRPr="00C52B1C" w:rsidRDefault="00C52B1C" w:rsidP="001E768A">
      <w:pPr>
        <w:spacing w:line="360" w:lineRule="auto"/>
        <w:ind w:left="1068" w:right="139" w:hanging="360"/>
        <w:jc w:val="both"/>
        <w:rPr>
          <w:i/>
        </w:rPr>
      </w:pPr>
      <w:r w:rsidRPr="00C52B1C">
        <w:rPr>
          <w:i/>
        </w:rPr>
        <w:t>Khan, M. I., Haleem, A., &amp; Javaid, M. (2025). Integrating Industry 4.0 for enhanced sustainability: A systematic review of artificial intelligence, digital twins, blockchain, robotics and circular manufacturing. Sustainable Production and Consumption, 49, 101–119.</w:t>
      </w:r>
    </w:p>
    <w:p w14:paraId="04EFE563" w14:textId="77777777" w:rsidR="00C52B1C" w:rsidRPr="00C52B1C" w:rsidRDefault="00C52B1C" w:rsidP="001E768A">
      <w:pPr>
        <w:spacing w:line="360" w:lineRule="auto"/>
        <w:ind w:left="1068" w:right="139" w:hanging="360"/>
        <w:jc w:val="both"/>
        <w:rPr>
          <w:i/>
        </w:rPr>
      </w:pPr>
    </w:p>
    <w:p w14:paraId="023FB593" w14:textId="77777777" w:rsidR="00C52B1C" w:rsidRPr="00C52B1C" w:rsidRDefault="00C52B1C" w:rsidP="001E768A">
      <w:pPr>
        <w:spacing w:line="360" w:lineRule="auto"/>
        <w:ind w:left="1068" w:right="139" w:hanging="360"/>
        <w:jc w:val="both"/>
        <w:rPr>
          <w:i/>
        </w:rPr>
      </w:pPr>
      <w:r w:rsidRPr="00C52B1C">
        <w:rPr>
          <w:i/>
        </w:rPr>
        <w:t>Kitchin, R. (2021). Data lives: How data are made and shape our world. Bristol University Press.</w:t>
      </w:r>
    </w:p>
    <w:p w14:paraId="61257B21" w14:textId="77777777" w:rsidR="00C52B1C" w:rsidRPr="00C52B1C" w:rsidRDefault="00C52B1C" w:rsidP="001E768A">
      <w:pPr>
        <w:spacing w:line="360" w:lineRule="auto"/>
        <w:ind w:left="1068" w:right="139" w:hanging="360"/>
        <w:jc w:val="both"/>
        <w:rPr>
          <w:i/>
        </w:rPr>
      </w:pPr>
    </w:p>
    <w:p w14:paraId="75F179B4" w14:textId="77777777" w:rsidR="00C52B1C" w:rsidRPr="00C52B1C" w:rsidRDefault="00C52B1C" w:rsidP="001E768A">
      <w:pPr>
        <w:spacing w:line="360" w:lineRule="auto"/>
        <w:ind w:left="1068" w:right="139" w:hanging="360"/>
        <w:jc w:val="both"/>
        <w:rPr>
          <w:i/>
        </w:rPr>
      </w:pPr>
      <w:r w:rsidRPr="00C52B1C">
        <w:rPr>
          <w:i/>
        </w:rPr>
        <w:t>Korea Ministry of SMEs and Startups. (2025). Manufacturing innovation and AI-based smart factory support plan. Government of the Republic of Korea.</w:t>
      </w:r>
    </w:p>
    <w:p w14:paraId="4BD6E1A1" w14:textId="77777777" w:rsidR="00C52B1C" w:rsidRPr="00C52B1C" w:rsidRDefault="00C52B1C" w:rsidP="001E768A">
      <w:pPr>
        <w:spacing w:line="360" w:lineRule="auto"/>
        <w:ind w:left="1068" w:right="139" w:hanging="360"/>
        <w:jc w:val="both"/>
        <w:rPr>
          <w:i/>
        </w:rPr>
      </w:pPr>
    </w:p>
    <w:p w14:paraId="0D9AC56B" w14:textId="77777777" w:rsidR="00C52B1C" w:rsidRPr="00C52B1C" w:rsidRDefault="00C52B1C" w:rsidP="001E768A">
      <w:pPr>
        <w:spacing w:line="360" w:lineRule="auto"/>
        <w:ind w:left="1068" w:right="139" w:hanging="360"/>
        <w:jc w:val="both"/>
        <w:rPr>
          <w:i/>
        </w:rPr>
      </w:pPr>
      <w:r w:rsidRPr="00C52B1C">
        <w:rPr>
          <w:i/>
        </w:rPr>
        <w:t>Korea Ministry of Trade, Industry and Energy. (2024). AI autonomous manufacturing pilot project. Government of the Republic of Korea.</w:t>
      </w:r>
    </w:p>
    <w:p w14:paraId="05944AE1" w14:textId="77777777" w:rsidR="00C52B1C" w:rsidRPr="00C52B1C" w:rsidRDefault="00C52B1C" w:rsidP="001E768A">
      <w:pPr>
        <w:spacing w:line="360" w:lineRule="auto"/>
        <w:ind w:left="1068" w:right="139" w:hanging="360"/>
        <w:jc w:val="both"/>
        <w:rPr>
          <w:i/>
        </w:rPr>
      </w:pPr>
    </w:p>
    <w:p w14:paraId="25094546" w14:textId="77777777" w:rsidR="00C52B1C" w:rsidRPr="00C52B1C" w:rsidRDefault="00C52B1C" w:rsidP="001E768A">
      <w:pPr>
        <w:spacing w:line="360" w:lineRule="auto"/>
        <w:ind w:left="1068" w:right="139" w:hanging="360"/>
        <w:jc w:val="both"/>
        <w:rPr>
          <w:i/>
        </w:rPr>
      </w:pPr>
      <w:r w:rsidRPr="00C52B1C">
        <w:rPr>
          <w:i/>
        </w:rPr>
        <w:t>Lasi, H., Fettke, P., Kemper, H. G., Feld, T., &amp; Hoffmann, M. (2014). Industry 4.0. Business &amp; Information Systems Engineering, 6(4), 239–242.</w:t>
      </w:r>
    </w:p>
    <w:p w14:paraId="6FB3565C" w14:textId="77777777" w:rsidR="00C52B1C" w:rsidRPr="00C52B1C" w:rsidRDefault="00C52B1C" w:rsidP="001E768A">
      <w:pPr>
        <w:spacing w:line="360" w:lineRule="auto"/>
        <w:ind w:left="1068" w:right="139" w:hanging="360"/>
        <w:jc w:val="both"/>
        <w:rPr>
          <w:i/>
        </w:rPr>
      </w:pPr>
    </w:p>
    <w:p w14:paraId="4E04EFA6" w14:textId="77777777" w:rsidR="00C52B1C" w:rsidRPr="00C52B1C" w:rsidRDefault="00C52B1C" w:rsidP="001E768A">
      <w:pPr>
        <w:spacing w:line="360" w:lineRule="auto"/>
        <w:ind w:left="1068" w:right="139" w:hanging="360"/>
        <w:jc w:val="both"/>
        <w:rPr>
          <w:i/>
        </w:rPr>
      </w:pPr>
      <w:r w:rsidRPr="00C52B1C">
        <w:rPr>
          <w:i/>
        </w:rPr>
        <w:t>Lee, J., Bagheri, B., &amp; Kao, H. A. (2015). A cyber-physical systems architecture for Industry 4.0-based manufacturing systems. Manufacturing Letters, 3, 18–23.</w:t>
      </w:r>
    </w:p>
    <w:p w14:paraId="2E6A8042" w14:textId="77777777" w:rsidR="00C52B1C" w:rsidRPr="00C52B1C" w:rsidRDefault="00C52B1C" w:rsidP="001E768A">
      <w:pPr>
        <w:spacing w:line="360" w:lineRule="auto"/>
        <w:ind w:left="1068" w:right="139" w:hanging="360"/>
        <w:jc w:val="both"/>
        <w:rPr>
          <w:i/>
        </w:rPr>
      </w:pPr>
    </w:p>
    <w:p w14:paraId="46C72C5B" w14:textId="77777777" w:rsidR="00C52B1C" w:rsidRPr="00C52B1C" w:rsidRDefault="00C52B1C" w:rsidP="001E768A">
      <w:pPr>
        <w:spacing w:line="360" w:lineRule="auto"/>
        <w:ind w:left="1068" w:right="139" w:hanging="360"/>
        <w:jc w:val="both"/>
        <w:rPr>
          <w:i/>
        </w:rPr>
      </w:pPr>
      <w:r w:rsidRPr="00C52B1C">
        <w:rPr>
          <w:i/>
        </w:rPr>
        <w:t>Lundvall, B. Å. (1992). National systems of innovation: Towards a theory of innovation and interactive learning. Pinter.</w:t>
      </w:r>
    </w:p>
    <w:p w14:paraId="61FD8ABB" w14:textId="77777777" w:rsidR="00C52B1C" w:rsidRPr="00C52B1C" w:rsidRDefault="00C52B1C" w:rsidP="001E768A">
      <w:pPr>
        <w:spacing w:line="360" w:lineRule="auto"/>
        <w:ind w:left="1068" w:right="139" w:hanging="360"/>
        <w:jc w:val="both"/>
        <w:rPr>
          <w:i/>
        </w:rPr>
      </w:pPr>
    </w:p>
    <w:p w14:paraId="56C00272" w14:textId="77777777" w:rsidR="00C52B1C" w:rsidRPr="00C52B1C" w:rsidRDefault="00C52B1C" w:rsidP="001E768A">
      <w:pPr>
        <w:spacing w:line="360" w:lineRule="auto"/>
        <w:ind w:left="1068" w:right="139" w:hanging="360"/>
        <w:jc w:val="both"/>
        <w:rPr>
          <w:i/>
        </w:rPr>
      </w:pPr>
      <w:r w:rsidRPr="00C52B1C">
        <w:rPr>
          <w:i/>
        </w:rPr>
        <w:t>Nelson, R. R. (1993). National innovation systems: A comparative analysis. Oxford University Press.</w:t>
      </w:r>
    </w:p>
    <w:p w14:paraId="1F2AB971" w14:textId="77777777" w:rsidR="00C52B1C" w:rsidRPr="00C52B1C" w:rsidRDefault="00C52B1C" w:rsidP="001E768A">
      <w:pPr>
        <w:spacing w:line="360" w:lineRule="auto"/>
        <w:ind w:left="1068" w:right="139" w:hanging="360"/>
        <w:jc w:val="both"/>
        <w:rPr>
          <w:i/>
        </w:rPr>
      </w:pPr>
    </w:p>
    <w:p w14:paraId="4518D85A" w14:textId="77777777" w:rsidR="00C52B1C" w:rsidRPr="00C52B1C" w:rsidRDefault="00C52B1C" w:rsidP="001E768A">
      <w:pPr>
        <w:spacing w:line="360" w:lineRule="auto"/>
        <w:ind w:left="1068" w:right="139" w:hanging="360"/>
        <w:jc w:val="both"/>
        <w:rPr>
          <w:i/>
        </w:rPr>
      </w:pPr>
      <w:r w:rsidRPr="00C52B1C">
        <w:rPr>
          <w:i/>
        </w:rPr>
        <w:t>OECD. (2023). OECD science, technology and innovation outlook 2023. OECD Publishing.</w:t>
      </w:r>
    </w:p>
    <w:p w14:paraId="6530C64A" w14:textId="77777777" w:rsidR="00C52B1C" w:rsidRPr="00C52B1C" w:rsidRDefault="00C52B1C" w:rsidP="001E768A">
      <w:pPr>
        <w:spacing w:line="360" w:lineRule="auto"/>
        <w:ind w:left="1068" w:right="139" w:hanging="360"/>
        <w:jc w:val="both"/>
        <w:rPr>
          <w:i/>
        </w:rPr>
      </w:pPr>
    </w:p>
    <w:p w14:paraId="1B33FDAB" w14:textId="77777777" w:rsidR="00C52B1C" w:rsidRPr="00C52B1C" w:rsidRDefault="00C52B1C" w:rsidP="001E768A">
      <w:pPr>
        <w:spacing w:line="360" w:lineRule="auto"/>
        <w:ind w:left="1068" w:right="139" w:hanging="360"/>
        <w:jc w:val="both"/>
        <w:rPr>
          <w:i/>
        </w:rPr>
      </w:pPr>
      <w:r w:rsidRPr="00C52B1C">
        <w:rPr>
          <w:i/>
        </w:rPr>
        <w:t>OECD. (2024). OECD economic surveys: Korea 2024. OECD Publishing.</w:t>
      </w:r>
    </w:p>
    <w:p w14:paraId="34975B78" w14:textId="77777777" w:rsidR="00C52B1C" w:rsidRPr="00C52B1C" w:rsidRDefault="00C52B1C" w:rsidP="001E768A">
      <w:pPr>
        <w:spacing w:line="360" w:lineRule="auto"/>
        <w:ind w:left="1068" w:right="139" w:hanging="360"/>
        <w:jc w:val="both"/>
        <w:rPr>
          <w:i/>
        </w:rPr>
      </w:pPr>
    </w:p>
    <w:p w14:paraId="2D9CD5F9" w14:textId="77777777" w:rsidR="00C52B1C" w:rsidRPr="00C52B1C" w:rsidRDefault="00C52B1C" w:rsidP="001E768A">
      <w:pPr>
        <w:spacing w:line="360" w:lineRule="auto"/>
        <w:ind w:left="1068" w:right="139" w:hanging="360"/>
        <w:jc w:val="both"/>
        <w:rPr>
          <w:i/>
        </w:rPr>
      </w:pPr>
      <w:r w:rsidRPr="00C52B1C">
        <w:rPr>
          <w:i/>
        </w:rPr>
        <w:t>OECD. (2026). Korea’s smart manufacturing innovation initiative. OECD Publishing.</w:t>
      </w:r>
    </w:p>
    <w:p w14:paraId="74C980F4" w14:textId="77777777" w:rsidR="00C52B1C" w:rsidRPr="00C52B1C" w:rsidRDefault="00C52B1C" w:rsidP="001E768A">
      <w:pPr>
        <w:spacing w:line="360" w:lineRule="auto"/>
        <w:ind w:left="1068" w:right="139" w:hanging="360"/>
        <w:jc w:val="both"/>
        <w:rPr>
          <w:i/>
        </w:rPr>
      </w:pPr>
    </w:p>
    <w:p w14:paraId="71650620" w14:textId="77777777" w:rsidR="00C52B1C" w:rsidRPr="00C52B1C" w:rsidRDefault="00C52B1C" w:rsidP="001E768A">
      <w:pPr>
        <w:spacing w:line="360" w:lineRule="auto"/>
        <w:ind w:left="1068" w:right="139" w:hanging="360"/>
        <w:jc w:val="both"/>
        <w:rPr>
          <w:i/>
        </w:rPr>
      </w:pPr>
      <w:r w:rsidRPr="00C52B1C">
        <w:rPr>
          <w:i/>
        </w:rPr>
        <w:t>Plattform Industrie 4.0. (2024). Digital twin reference model and standardization to realize smart manufacturing. Plattform Industrie 4.0.</w:t>
      </w:r>
    </w:p>
    <w:p w14:paraId="4BA8F2A2" w14:textId="77777777" w:rsidR="00C52B1C" w:rsidRPr="00C52B1C" w:rsidRDefault="00C52B1C" w:rsidP="001E768A">
      <w:pPr>
        <w:spacing w:line="360" w:lineRule="auto"/>
        <w:ind w:left="1068" w:right="139" w:hanging="360"/>
        <w:jc w:val="both"/>
        <w:rPr>
          <w:i/>
        </w:rPr>
      </w:pPr>
    </w:p>
    <w:p w14:paraId="2B71182E" w14:textId="77777777" w:rsidR="00C52B1C" w:rsidRPr="00C52B1C" w:rsidRDefault="00C52B1C" w:rsidP="001E768A">
      <w:pPr>
        <w:spacing w:line="360" w:lineRule="auto"/>
        <w:ind w:left="1068" w:right="139" w:hanging="360"/>
        <w:jc w:val="both"/>
        <w:rPr>
          <w:i/>
        </w:rPr>
      </w:pPr>
      <w:r w:rsidRPr="00C52B1C">
        <w:rPr>
          <w:i/>
        </w:rPr>
        <w:t>Stock, T., &amp; Seliger, G. (2016). Opportunities of sustainable manufacturing in Industry 4.0. Procedia CIRP, 40, 536–541.</w:t>
      </w:r>
    </w:p>
    <w:p w14:paraId="2CB962B2" w14:textId="77777777" w:rsidR="00C52B1C" w:rsidRPr="00C52B1C" w:rsidRDefault="00C52B1C" w:rsidP="001E768A">
      <w:pPr>
        <w:spacing w:line="360" w:lineRule="auto"/>
        <w:ind w:left="1068" w:right="139" w:hanging="360"/>
        <w:jc w:val="both"/>
        <w:rPr>
          <w:i/>
        </w:rPr>
      </w:pPr>
    </w:p>
    <w:p w14:paraId="5F0C132A" w14:textId="77777777" w:rsidR="00C52B1C" w:rsidRPr="00C52B1C" w:rsidRDefault="00C52B1C" w:rsidP="001E768A">
      <w:pPr>
        <w:spacing w:line="360" w:lineRule="auto"/>
        <w:ind w:left="1068" w:right="139" w:hanging="360"/>
        <w:jc w:val="both"/>
        <w:rPr>
          <w:i/>
        </w:rPr>
      </w:pPr>
      <w:r w:rsidRPr="00C52B1C">
        <w:rPr>
          <w:i/>
        </w:rPr>
        <w:lastRenderedPageBreak/>
        <w:t>Tao, F., Zhang, H., Liu, A., &amp; Nee, A. Y. C. (2019). Digital twin in industry: State-of-the-art. IEEE Transactions on Industrial Informatics, 15(4), 2405–2415.</w:t>
      </w:r>
    </w:p>
    <w:p w14:paraId="6D481D8D" w14:textId="77777777" w:rsidR="00C52B1C" w:rsidRPr="00C52B1C" w:rsidRDefault="00C52B1C" w:rsidP="001E768A">
      <w:pPr>
        <w:spacing w:line="360" w:lineRule="auto"/>
        <w:ind w:left="1068" w:right="139" w:hanging="360"/>
        <w:jc w:val="both"/>
        <w:rPr>
          <w:i/>
        </w:rPr>
      </w:pPr>
    </w:p>
    <w:p w14:paraId="02A2AEA0" w14:textId="77777777" w:rsidR="00C52B1C" w:rsidRPr="00C52B1C" w:rsidRDefault="00C52B1C" w:rsidP="001E768A">
      <w:pPr>
        <w:spacing w:line="360" w:lineRule="auto"/>
        <w:ind w:left="1068" w:right="139" w:hanging="360"/>
        <w:jc w:val="both"/>
        <w:rPr>
          <w:i/>
        </w:rPr>
      </w:pPr>
      <w:r w:rsidRPr="00C52B1C">
        <w:rPr>
          <w:i/>
        </w:rPr>
        <w:t>United Nations Industrial Development Organization. (2024). Industrial development report 2024. UNIDO.</w:t>
      </w:r>
    </w:p>
    <w:p w14:paraId="3611E21A" w14:textId="77777777" w:rsidR="00C52B1C" w:rsidRPr="00C52B1C" w:rsidRDefault="00C52B1C" w:rsidP="001E768A">
      <w:pPr>
        <w:spacing w:line="360" w:lineRule="auto"/>
        <w:ind w:left="1068" w:right="139" w:hanging="360"/>
        <w:jc w:val="both"/>
        <w:rPr>
          <w:i/>
        </w:rPr>
      </w:pPr>
    </w:p>
    <w:p w14:paraId="671BDF34" w14:textId="77777777" w:rsidR="00C52B1C" w:rsidRPr="00C52B1C" w:rsidRDefault="00C52B1C" w:rsidP="001E768A">
      <w:pPr>
        <w:spacing w:line="360" w:lineRule="auto"/>
        <w:ind w:left="1068" w:right="139" w:hanging="360"/>
        <w:jc w:val="both"/>
        <w:rPr>
          <w:i/>
        </w:rPr>
      </w:pPr>
      <w:r w:rsidRPr="00C52B1C">
        <w:rPr>
          <w:i/>
        </w:rPr>
        <w:t>Wuest, T., Weimer, D., Irgens, C., &amp; Thoben, K. D. (2016). Machine learning in manufacturing: Advantages, challenges, and applications. Production &amp; Manufacturing Research, 4(1), 23–45.</w:t>
      </w:r>
    </w:p>
    <w:p w14:paraId="334EC3FB" w14:textId="77777777" w:rsidR="00C52B1C" w:rsidRPr="00C52B1C" w:rsidRDefault="00C52B1C" w:rsidP="001E768A">
      <w:pPr>
        <w:spacing w:line="360" w:lineRule="auto"/>
        <w:ind w:left="1068" w:right="139" w:hanging="360"/>
        <w:jc w:val="both"/>
        <w:rPr>
          <w:i/>
        </w:rPr>
      </w:pPr>
    </w:p>
    <w:p w14:paraId="7662BA15" w14:textId="6FC131D9" w:rsidR="00D13ED2" w:rsidRDefault="00C52B1C" w:rsidP="001E768A">
      <w:pPr>
        <w:spacing w:line="360" w:lineRule="auto"/>
        <w:ind w:left="1068" w:right="139" w:hanging="360"/>
        <w:jc w:val="both"/>
        <w:rPr>
          <w:i/>
        </w:rPr>
      </w:pPr>
      <w:r w:rsidRPr="00C52B1C">
        <w:rPr>
          <w:i/>
        </w:rPr>
        <w:t>Xu, L. D., Xu, E. L., &amp; Li, L. (2018). Industry 4.0: State of the art and future trends. International Journal of Production Research, 56(8), 2941–2962.</w:t>
      </w:r>
    </w:p>
    <w:sectPr w:rsidR="00D13ED2">
      <w:headerReference w:type="default" r:id="rId10"/>
      <w:footerReference w:type="even" r:id="rId11"/>
      <w:footerReference w:type="default" r:id="rId12"/>
      <w:pgSz w:w="11910" w:h="16840"/>
      <w:pgMar w:top="1040" w:right="992" w:bottom="960" w:left="425"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2D1F" w14:textId="77777777" w:rsidR="00527405" w:rsidRDefault="00527405">
      <w:r>
        <w:separator/>
      </w:r>
    </w:p>
  </w:endnote>
  <w:endnote w:type="continuationSeparator" w:id="0">
    <w:p w14:paraId="23787579" w14:textId="77777777" w:rsidR="00527405" w:rsidRDefault="00527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93BA" w14:textId="77777777" w:rsidR="00CA0D37" w:rsidRDefault="00BE4D62">
    <w:pPr>
      <w:pStyle w:val="BodyText"/>
      <w:spacing w:line="14" w:lineRule="auto"/>
      <w:ind w:left="0"/>
      <w:jc w:val="left"/>
      <w:rPr>
        <w:sz w:val="20"/>
      </w:rPr>
    </w:pPr>
    <w:r>
      <w:rPr>
        <w:noProof/>
        <w:sz w:val="20"/>
      </w:rPr>
      <mc:AlternateContent>
        <mc:Choice Requires="wps">
          <w:drawing>
            <wp:anchor distT="0" distB="0" distL="0" distR="0" simplePos="0" relativeHeight="251660288" behindDoc="1" locked="0" layoutInCell="1" allowOverlap="1" wp14:anchorId="74E22F96" wp14:editId="24487CD6">
              <wp:simplePos x="0" y="0"/>
              <wp:positionH relativeFrom="page">
                <wp:posOffset>681532</wp:posOffset>
              </wp:positionH>
              <wp:positionV relativeFrom="page">
                <wp:posOffset>10063550</wp:posOffset>
              </wp:positionV>
              <wp:extent cx="285750" cy="1835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183515"/>
                      </a:xfrm>
                      <a:prstGeom prst="rect">
                        <a:avLst/>
                      </a:prstGeom>
                    </wps:spPr>
                    <wps:txbx>
                      <w:txbxContent>
                        <w:p w14:paraId="28A0461B" w14:textId="77777777" w:rsidR="00CA0D37" w:rsidRDefault="00BE4D62">
                          <w:pPr>
                            <w:pStyle w:val="BodyText"/>
                            <w:spacing w:before="5"/>
                            <w:ind w:left="60"/>
                            <w:jc w:val="left"/>
                          </w:pPr>
                          <w:r>
                            <w:rPr>
                              <w:spacing w:val="-5"/>
                            </w:rPr>
                            <w:fldChar w:fldCharType="begin"/>
                          </w:r>
                          <w:r>
                            <w:rPr>
                              <w:spacing w:val="-5"/>
                            </w:rPr>
                            <w:instrText xml:space="preserve"> PAGE </w:instrText>
                          </w:r>
                          <w:r>
                            <w:rPr>
                              <w:spacing w:val="-5"/>
                            </w:rPr>
                            <w:fldChar w:fldCharType="separate"/>
                          </w:r>
                          <w:r>
                            <w:rPr>
                              <w:spacing w:val="-5"/>
                            </w:rPr>
                            <w:t>174</w:t>
                          </w:r>
                          <w:r>
                            <w:rPr>
                              <w:spacing w:val="-5"/>
                            </w:rPr>
                            <w:fldChar w:fldCharType="end"/>
                          </w:r>
                        </w:p>
                      </w:txbxContent>
                    </wps:txbx>
                    <wps:bodyPr wrap="square" lIns="0" tIns="0" rIns="0" bIns="0" rtlCol="0">
                      <a:noAutofit/>
                    </wps:bodyPr>
                  </wps:wsp>
                </a:graphicData>
              </a:graphic>
            </wp:anchor>
          </w:drawing>
        </mc:Choice>
        <mc:Fallback>
          <w:pict>
            <v:shapetype w14:anchorId="74E22F96" id="_x0000_t202" coordsize="21600,21600" o:spt="202" path="m,l,21600r21600,l21600,xe">
              <v:stroke joinstyle="miter"/>
              <v:path gradientshapeok="t" o:connecttype="rect"/>
            </v:shapetype>
            <v:shape id="Textbox 15" o:spid="_x0000_s1027" type="#_x0000_t202" style="position:absolute;margin-left:53.65pt;margin-top:792.4pt;width:22.5pt;height:14.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qNkwEAABoDAAAOAAAAZHJzL2Uyb0RvYy54bWysUsGO0zAQvSPxD5bv1G1RoYqaroAVCGkF&#10;SLt8gOvYTUTsMTNuk/49YzdtEdxWe7HHnvGb9954czf6XhwtUgehlovZXAobDDRd2Nfy59PnN2sp&#10;KOnQ6B6CreXJkrzbvn61GWJll9BC31gUDBKoGmIt25RipRSZ1npNM4g2cNIBep34iHvVoB4Y3fdq&#10;OZ+/UwNgExGMJeLb+3NSbgu+c9ak786RTaKvJXNLZcWy7vKqthtd7VHHtjMTDf0MFl53gZteoe51&#10;0uKA3X9QvjMIBC7NDHgFznXGFg2sZjH/R81jq6MtWtgcileb6OVgzbfjY/yBIo0fYeQBFhEUH8D8&#10;IvZGDZGqqSZ7ShVxdRY6OvR5ZwmCH7K3p6ufdkzC8OVyvXq/4ozh1GL9drVYZb/V7XFESl8seJGD&#10;WiKPqxDQxwdK59JLycTl3D4TSeNu5JIc7qA5sYaBx1hL+n3QaKXovwb2Kc/8EuAl2F0CTP0nKD8j&#10;Swnw4ZDAdaXzDXfqzAMo3KfPkif897lU3b709g8AAAD//wMAUEsDBBQABgAIAAAAIQCtIQ/z4AAA&#10;AA0BAAAPAAAAZHJzL2Rvd25yZXYueG1sTE9BbsIwELxX6h+srdRbsYESIMRBqGpPlaqG9NCjE5vE&#10;Il6nsYH0911O9DazM5qdybaj69jZDMF6lDCdCGAGa68tNhK+yrenFbAQFWrVeTQSfk2AbX5/l6lU&#10;+wsW5ryPDaMQDKmS0MbYp5yHujVOhYnvDZJ28INTkejQcD2oC4W7js+ESLhTFulDq3rz0pr6uD85&#10;CbtvLF7tz0f1WRwKW5Zrge/JUcrHh3G3ARbNGG9muNan6pBTp8qfUAfWERfLOVkJLFbPNOJqWczo&#10;VBFIpvMl8Dzj/1fkfwAAAP//AwBQSwECLQAUAAYACAAAACEAtoM4kv4AAADhAQAAEwAAAAAAAAAA&#10;AAAAAAAAAAAAW0NvbnRlbnRfVHlwZXNdLnhtbFBLAQItABQABgAIAAAAIQA4/SH/1gAAAJQBAAAL&#10;AAAAAAAAAAAAAAAAAC8BAABfcmVscy8ucmVsc1BLAQItABQABgAIAAAAIQAGRcqNkwEAABoDAAAO&#10;AAAAAAAAAAAAAAAAAC4CAABkcnMvZTJvRG9jLnhtbFBLAQItABQABgAIAAAAIQCtIQ/z4AAAAA0B&#10;AAAPAAAAAAAAAAAAAAAAAO0DAABkcnMvZG93bnJldi54bWxQSwUGAAAAAAQABADzAAAA+gQAAAAA&#10;" filled="f" stroked="f">
              <v:textbox inset="0,0,0,0">
                <w:txbxContent>
                  <w:p w14:paraId="28A0461B" w14:textId="77777777" w:rsidR="00CA0D37" w:rsidRDefault="00BE4D62">
                    <w:pPr>
                      <w:pStyle w:val="BodyText"/>
                      <w:spacing w:before="5"/>
                      <w:ind w:left="60"/>
                      <w:jc w:val="left"/>
                    </w:pPr>
                    <w:r>
                      <w:rPr>
                        <w:spacing w:val="-5"/>
                      </w:rPr>
                      <w:fldChar w:fldCharType="begin"/>
                    </w:r>
                    <w:r>
                      <w:rPr>
                        <w:spacing w:val="-5"/>
                      </w:rPr>
                      <w:instrText xml:space="preserve"> PAGE </w:instrText>
                    </w:r>
                    <w:r>
                      <w:rPr>
                        <w:spacing w:val="-5"/>
                      </w:rPr>
                      <w:fldChar w:fldCharType="separate"/>
                    </w:r>
                    <w:r>
                      <w:rPr>
                        <w:spacing w:val="-5"/>
                      </w:rPr>
                      <w:t>174</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0BE9F496" wp14:editId="2958E5FA">
              <wp:simplePos x="0" y="0"/>
              <wp:positionH relativeFrom="page">
                <wp:posOffset>5695950</wp:posOffset>
              </wp:positionH>
              <wp:positionV relativeFrom="page">
                <wp:posOffset>10063550</wp:posOffset>
              </wp:positionV>
              <wp:extent cx="1141730" cy="18351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1730" cy="183515"/>
                      </a:xfrm>
                      <a:prstGeom prst="rect">
                        <a:avLst/>
                      </a:prstGeom>
                    </wps:spPr>
                    <wps:txbx>
                      <w:txbxContent>
                        <w:p w14:paraId="64B7E564" w14:textId="77777777" w:rsidR="00CA0D37" w:rsidRDefault="00BE4D62">
                          <w:pPr>
                            <w:pStyle w:val="BodyText"/>
                            <w:spacing w:before="5"/>
                            <w:ind w:left="20"/>
                            <w:jc w:val="left"/>
                          </w:pPr>
                          <w:r>
                            <w:rPr>
                              <w:spacing w:val="-4"/>
                            </w:rPr>
                            <w:t>©</w:t>
                          </w:r>
                          <w:r>
                            <w:rPr>
                              <w:spacing w:val="-9"/>
                            </w:rPr>
                            <w:t xml:space="preserve"> </w:t>
                          </w:r>
                          <w:r>
                            <w:rPr>
                              <w:spacing w:val="-4"/>
                            </w:rPr>
                            <w:t>2025</w:t>
                          </w:r>
                          <w:r>
                            <w:rPr>
                              <w:spacing w:val="-7"/>
                            </w:rPr>
                            <w:t xml:space="preserve"> </w:t>
                          </w:r>
                          <w:r w:rsidRPr="0031009F">
                            <w:rPr>
                              <w:spacing w:val="-4"/>
                              <w:sz w:val="20"/>
                              <w:szCs w:val="20"/>
                            </w:rPr>
                            <w:t>by</w:t>
                          </w:r>
                          <w:r>
                            <w:rPr>
                              <w:spacing w:val="-6"/>
                            </w:rPr>
                            <w:t xml:space="preserve"> </w:t>
                          </w:r>
                          <w:r>
                            <w:rPr>
                              <w:spacing w:val="-4"/>
                            </w:rPr>
                            <w:t>Author/s</w:t>
                          </w:r>
                        </w:p>
                      </w:txbxContent>
                    </wps:txbx>
                    <wps:bodyPr wrap="square" lIns="0" tIns="0" rIns="0" bIns="0" rtlCol="0">
                      <a:noAutofit/>
                    </wps:bodyPr>
                  </wps:wsp>
                </a:graphicData>
              </a:graphic>
            </wp:anchor>
          </w:drawing>
        </mc:Choice>
        <mc:Fallback>
          <w:pict>
            <v:shape w14:anchorId="0BE9F496" id="Textbox 16" o:spid="_x0000_s1028" type="#_x0000_t202" style="position:absolute;margin-left:448.5pt;margin-top:792.4pt;width:89.9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qPlwEAACIDAAAOAAAAZHJzL2Uyb0RvYy54bWysUsFuEzEQvSPxD5bvZLMthWqVTQVUIKQK&#10;KpV+gOO1sxZrj5lxspu/Z+xsEkRviMt47Bk/v/fGq7vJD2JvkByEVtaLpRQmaOhc2Lby+cfnN7dS&#10;UFKhUwME08qDIXm3fv1qNcbGXEEPQ2dQMEigZoyt7FOKTVWR7o1XtIBoAhctoFeJt7itOlQjo/uh&#10;ulou31UjYBcRtCHi0/tjUa4LvrVGp+/WkkliaCVzSyViiZscq/VKNVtUsXd6pqH+gYVXLvCjZ6h7&#10;lZTYoXsB5Z1GILBpocFXYK3TpmhgNfXyLzVPvYqmaGFzKJ5tov8Hq7/tn+IjijR9hIkHWERQfAD9&#10;k9ibaozUzD3ZU2qIu7PQyaLPK0sQfJG9PZz9NFMSOqPVb+v311zSXKtvr2/qm2x4dbkdkdIXA17k&#10;pJXI8yoM1P6B0rH11DKTOb6fmaRpMwnXZdLcmU820B1Yy8jjbCX92ik0UgxfA/uVZ39K8JRsTgmm&#10;4ROUH5IlBfiwS2BdIXDBnQnwIIqE+dPkSf+5L12Xr73+DQAA//8DAFBLAwQUAAYACAAAACEAcKBL&#10;IeIAAAAOAQAADwAAAGRycy9kb3ducmV2LnhtbEyPzU7DMBCE70i8g7VI3KhdfpI0xKkqBCckRBoO&#10;HJ3YTazG6xC7bXh7tqdym9WMZr8p1rMb2NFMwXqUsFwIYAZbry12Er7qt7sMWIgKtRo8Ggm/JsC6&#10;vL4qVK79CStz3MaOUQmGXEnoYxxzzkPbG6fCwo8Gydv5yalI59RxPakTlbuB3wuRcKcs0odejeal&#10;N+1+e3ASNt9Yvdqfj+az2lW2rlcC35O9lLc38+YZWDRzvIThjE/oUBJT4w+oAxskZKuUtkQynrJH&#10;GnGOiDQh1ZBKlg8p8LLg/2eUfwAAAP//AwBQSwECLQAUAAYACAAAACEAtoM4kv4AAADhAQAAEwAA&#10;AAAAAAAAAAAAAAAAAAAAW0NvbnRlbnRfVHlwZXNdLnhtbFBLAQItABQABgAIAAAAIQA4/SH/1gAA&#10;AJQBAAALAAAAAAAAAAAAAAAAAC8BAABfcmVscy8ucmVsc1BLAQItABQABgAIAAAAIQB/gcqPlwEA&#10;ACIDAAAOAAAAAAAAAAAAAAAAAC4CAABkcnMvZTJvRG9jLnhtbFBLAQItABQABgAIAAAAIQBwoEsh&#10;4gAAAA4BAAAPAAAAAAAAAAAAAAAAAPEDAABkcnMvZG93bnJldi54bWxQSwUGAAAAAAQABADzAAAA&#10;AAUAAAAA&#10;" filled="f" stroked="f">
              <v:textbox inset="0,0,0,0">
                <w:txbxContent>
                  <w:p w14:paraId="64B7E564" w14:textId="77777777" w:rsidR="00CA0D37" w:rsidRDefault="00BE4D62">
                    <w:pPr>
                      <w:pStyle w:val="BodyText"/>
                      <w:spacing w:before="5"/>
                      <w:ind w:left="20"/>
                      <w:jc w:val="left"/>
                    </w:pPr>
                    <w:r>
                      <w:rPr>
                        <w:spacing w:val="-4"/>
                      </w:rPr>
                      <w:t>©</w:t>
                    </w:r>
                    <w:r>
                      <w:rPr>
                        <w:spacing w:val="-9"/>
                      </w:rPr>
                      <w:t xml:space="preserve"> </w:t>
                    </w:r>
                    <w:r>
                      <w:rPr>
                        <w:spacing w:val="-4"/>
                      </w:rPr>
                      <w:t>2025</w:t>
                    </w:r>
                    <w:r>
                      <w:rPr>
                        <w:spacing w:val="-7"/>
                      </w:rPr>
                      <w:t xml:space="preserve"> </w:t>
                    </w:r>
                    <w:r w:rsidRPr="0031009F">
                      <w:rPr>
                        <w:spacing w:val="-4"/>
                        <w:sz w:val="20"/>
                        <w:szCs w:val="20"/>
                      </w:rPr>
                      <w:t>by</w:t>
                    </w:r>
                    <w:r>
                      <w:rPr>
                        <w:spacing w:val="-6"/>
                      </w:rPr>
                      <w:t xml:space="preserve"> </w:t>
                    </w:r>
                    <w:r>
                      <w:rPr>
                        <w:spacing w:val="-4"/>
                      </w:rPr>
                      <w:t>Author/s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D097" w14:textId="77777777" w:rsidR="00CA0D37" w:rsidRDefault="00BE4D62">
    <w:pPr>
      <w:pStyle w:val="BodyText"/>
      <w:spacing w:line="14" w:lineRule="auto"/>
      <w:ind w:left="0"/>
      <w:jc w:val="left"/>
      <w:rPr>
        <w:sz w:val="20"/>
      </w:rPr>
    </w:pPr>
    <w:r>
      <w:rPr>
        <w:noProof/>
        <w:sz w:val="20"/>
      </w:rPr>
      <mc:AlternateContent>
        <mc:Choice Requires="wps">
          <w:drawing>
            <wp:anchor distT="0" distB="0" distL="0" distR="0" simplePos="0" relativeHeight="251652096" behindDoc="1" locked="0" layoutInCell="1" allowOverlap="1" wp14:anchorId="527B663C" wp14:editId="681F72F2">
              <wp:simplePos x="0" y="0"/>
              <wp:positionH relativeFrom="page">
                <wp:posOffset>713105</wp:posOffset>
              </wp:positionH>
              <wp:positionV relativeFrom="page">
                <wp:posOffset>10078720</wp:posOffset>
              </wp:positionV>
              <wp:extent cx="5905500" cy="225552"/>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25552"/>
                      </a:xfrm>
                      <a:prstGeom prst="rect">
                        <a:avLst/>
                      </a:prstGeom>
                    </wps:spPr>
                    <wps:txbx>
                      <w:txbxContent>
                        <w:p w14:paraId="4DB65333" w14:textId="11E05424" w:rsidR="00CA0D37" w:rsidRPr="00C112D4" w:rsidRDefault="00605A96">
                          <w:pPr>
                            <w:pStyle w:val="BodyText"/>
                            <w:spacing w:before="5"/>
                            <w:ind w:left="20"/>
                            <w:jc w:val="left"/>
                            <w:rPr>
                              <w:i/>
                              <w:iCs/>
                              <w:sz w:val="14"/>
                              <w:szCs w:val="14"/>
                            </w:rPr>
                          </w:pPr>
                          <w:r w:rsidRPr="00C112D4">
                            <w:rPr>
                              <w:i/>
                              <w:iCs/>
                              <w:spacing w:val="-2"/>
                              <w:sz w:val="14"/>
                              <w:szCs w:val="14"/>
                            </w:rPr>
                            <w:t>Copyright © 2025 by Author/s. This is an open access article distributed under the Creative Commons Attribution License which permits unrestricted use, distribution, and reproduction in any medium, provided the original work is properly cited.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27B663C" id="_x0000_t202" coordsize="21600,21600" o:spt="202" path="m,l,21600r21600,l21600,xe">
              <v:stroke joinstyle="miter"/>
              <v:path gradientshapeok="t" o:connecttype="rect"/>
            </v:shapetype>
            <v:shape id="_x0000_s1029" type="#_x0000_t202" style="position:absolute;margin-left:56.15pt;margin-top:793.6pt;width:465pt;height:17.7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JblwEAACIDAAAOAAAAZHJzL2Uyb0RvYy54bWysUsGO2yAQvVfqPyDuDV5Lrlorzqq7q60q&#10;rdpKu/0AgiFGNQzLkNj5+w7ESar2VvUCw8zweO8N69vZjeygI1rwHb9ZVZxpr6C3ftfxHy+P7z5w&#10;hkn6Xo7gdcePGvnt5u2b9RRaXcMAY68jIxCP7RQ6PqQUWiFQDdpJXEHQnooGopOJjnEn+ignQnej&#10;qKvqvZgg9iGC0oiUfTgV+abgG6NV+mYM6sTGjhO3VNZY1m1exWYt212UYbBqoSH/gYWT1tOjF6gH&#10;mSTbR/sXlLMqAoJJKwVOgDFW6aKB1NxUf6h5HmTQRQuZg+FiE/4/WPX18By+R5bmO5hpgEUEhidQ&#10;P5G8EVPAdunJnmKL1J2Fzia6vJMERhfJ2+PFTz0npijZfKyapqKSolpdN01TZ8PF9XaImD5rcCwH&#10;HY80r8JAHp4wnVrPLQuZ0/uZSZq3M7M9IWfQnNlCfyQtE42z4/i6l1FzNn7x5Fee/TmI52B7DmIa&#10;76H8kCzJw6d9AmMLgSvuQoAGUSQsnyZP+vdz6bp+7c0vAAAA//8DAFBLAwQUAAYACAAAACEAoWLM&#10;veEAAAAOAQAADwAAAGRycy9kb3ducmV2LnhtbEyPwU7DMBBE70j8g7VI3KjdAGkJcaoKwQkJkYYD&#10;Ryd2E6vxOsRuG/6ezancZnZHs2/zzeR6djJjsB4lLBcCmMHGa4uthK/q7W4NLESFWvUejYRfE2BT&#10;XF/lKtP+jKU57WLLqARDpiR0MQ4Z56HpjFNh4QeDtNv70alIdmy5HtWZyl3PEyFS7pRFutCpwbx0&#10;pjnsjk7C9hvLV/vzUX+W+9JW1ZPA9/Qg5e3NtH0GFs0UL2GY8QkdCmKq/RF1YD35ZXJPURKP61UC&#10;bI6Ih3lWk0qTZAW8yPn/N4o/AAAA//8DAFBLAQItABQABgAIAAAAIQC2gziS/gAAAOEBAAATAAAA&#10;AAAAAAAAAAAAAAAAAABbQ29udGVudF9UeXBlc10ueG1sUEsBAi0AFAAGAAgAAAAhADj9If/WAAAA&#10;lAEAAAsAAAAAAAAAAAAAAAAALwEAAF9yZWxzLy5yZWxzUEsBAi0AFAAGAAgAAAAhAEnvEluXAQAA&#10;IgMAAA4AAAAAAAAAAAAAAAAALgIAAGRycy9lMm9Eb2MueG1sUEsBAi0AFAAGAAgAAAAhAKFizL3h&#10;AAAADgEAAA8AAAAAAAAAAAAAAAAA8QMAAGRycy9kb3ducmV2LnhtbFBLBQYAAAAABAAEAPMAAAD/&#10;BAAAAAA=&#10;" filled="f" stroked="f">
              <v:textbox inset="0,0,0,0">
                <w:txbxContent>
                  <w:p w14:paraId="4DB65333" w14:textId="11E05424" w:rsidR="00CA0D37" w:rsidRPr="00C112D4" w:rsidRDefault="00605A96">
                    <w:pPr>
                      <w:pStyle w:val="BodyText"/>
                      <w:spacing w:before="5"/>
                      <w:ind w:left="20"/>
                      <w:jc w:val="left"/>
                      <w:rPr>
                        <w:i/>
                        <w:iCs/>
                        <w:sz w:val="14"/>
                        <w:szCs w:val="14"/>
                      </w:rPr>
                    </w:pPr>
                    <w:r w:rsidRPr="00C112D4">
                      <w:rPr>
                        <w:i/>
                        <w:iCs/>
                        <w:spacing w:val="-2"/>
                        <w:sz w:val="14"/>
                        <w:szCs w:val="14"/>
                      </w:rPr>
                      <w:t>Copyright © 2025 by Author/s. This is an open access article distributed under the Creative Commons Attribution License which permits unrestricted use, distribution, and reproduction in any medium, provided the original work is properly cited.</w:t>
                    </w:r>
                  </w:p>
                </w:txbxContent>
              </v:textbox>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28F2BB96" wp14:editId="05D70A1F">
              <wp:simplePos x="0" y="0"/>
              <wp:positionH relativeFrom="page">
                <wp:posOffset>6606285</wp:posOffset>
              </wp:positionH>
              <wp:positionV relativeFrom="page">
                <wp:posOffset>10063550</wp:posOffset>
              </wp:positionV>
              <wp:extent cx="285750" cy="18351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183515"/>
                      </a:xfrm>
                      <a:prstGeom prst="rect">
                        <a:avLst/>
                      </a:prstGeom>
                    </wps:spPr>
                    <wps:txbx>
                      <w:txbxContent>
                        <w:p w14:paraId="0C357037" w14:textId="77777777" w:rsidR="00CA0D37" w:rsidRDefault="00BE4D62">
                          <w:pPr>
                            <w:pStyle w:val="BodyText"/>
                            <w:spacing w:before="5"/>
                            <w:ind w:left="60"/>
                            <w:jc w:val="left"/>
                          </w:pPr>
                          <w:r>
                            <w:rPr>
                              <w:spacing w:val="-5"/>
                            </w:rPr>
                            <w:fldChar w:fldCharType="begin"/>
                          </w:r>
                          <w:r>
                            <w:rPr>
                              <w:spacing w:val="-5"/>
                            </w:rPr>
                            <w:instrText xml:space="preserve"> PAGE </w:instrText>
                          </w:r>
                          <w:r>
                            <w:rPr>
                              <w:spacing w:val="-5"/>
                            </w:rPr>
                            <w:fldChar w:fldCharType="separate"/>
                          </w:r>
                          <w:r>
                            <w:rPr>
                              <w:spacing w:val="-5"/>
                            </w:rPr>
                            <w:t>173</w:t>
                          </w:r>
                          <w:r>
                            <w:rPr>
                              <w:spacing w:val="-5"/>
                            </w:rPr>
                            <w:fldChar w:fldCharType="end"/>
                          </w:r>
                        </w:p>
                      </w:txbxContent>
                    </wps:txbx>
                    <wps:bodyPr wrap="square" lIns="0" tIns="0" rIns="0" bIns="0" rtlCol="0">
                      <a:noAutofit/>
                    </wps:bodyPr>
                  </wps:wsp>
                </a:graphicData>
              </a:graphic>
            </wp:anchor>
          </w:drawing>
        </mc:Choice>
        <mc:Fallback>
          <w:pict>
            <v:shape w14:anchorId="28F2BB96" id="Textbox 14" o:spid="_x0000_s1030" type="#_x0000_t202" style="position:absolute;margin-left:520.2pt;margin-top:792.4pt;width:22.5pt;height:14.4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4blwEAACEDAAAOAAAAZHJzL2Uyb0RvYy54bWysUsGO0zAQvSPxD5bvNG1XhSpqulpYgZBW&#10;gLTwAa5jNxaxx8y4Tfr3jN20RXBDe7HHM+Pn9954cz/6XhwNkoPQyMVsLoUJGloX9o388f3jm7UU&#10;lFRoVQ/BNPJkSN5vX7/aDLE2S+igbw0KBglUD7GRXUqxrirSnfGKZhBN4KIF9CrxEfdVi2pgdN9X&#10;y/n8bTUAthFBGyLOPp6LclvwrTU6fbWWTBJ9I5lbKiuWdZfXartR9R5V7JyeaKj/YOGVC/zoFepR&#10;JSUO6P6B8k4jENg00+ArsNZpUzSwmsX8LzXPnYqmaGFzKF5topeD1V+Oz/EbijS+h5EHWERQfAL9&#10;k9ibaohUTz3ZU6qJu7PQ0aLPO0sQfJG9PV39NGMSmpPL9erdiiuaS4v13Wqxyn5Xt8sRKX0y4EUO&#10;Gok8rkJAHZ8onVsvLROX8/OZSBp3o3BtI+8yaM7soD2xlIGn2Uj6dVBopOg/B7Yrj/4S4CXYXQJM&#10;/QcoHyQrCvBwSGBdIXDDnQjwHIqE6c/kQf95Ll23n739DQAA//8DAFBLAwQUAAYACAAAACEAOtbj&#10;DuAAAAAPAQAADwAAAGRycy9kb3ducmV2LnhtbExPQU7DMBC8I/EHa5G4UbuQhhDiVBWCExJqGg4c&#10;ndhNrMbrELtt+D3bE9xmdkazM8V6dgM7mSlYjxKWCwHMYOu1xU7CZ/12lwELUaFWg0cj4ccEWJfX&#10;V4XKtT9jZU672DEKwZArCX2MY855aHvjVFj40SBpez85FYlOHdeTOlO4G/i9ECl3yiJ96NVoXnrT&#10;HnZHJ2HzhdWr/f5ottW+snX9JPA9PUh5ezNvnoFFM8c/M1zqU3UoqVPjj6gDG4iLRCTkJbTKElpx&#10;8YhsRbeGULp8eAReFvz/jvIXAAD//wMAUEsBAi0AFAAGAAgAAAAhALaDOJL+AAAA4QEAABMAAAAA&#10;AAAAAAAAAAAAAAAAAFtDb250ZW50X1R5cGVzXS54bWxQSwECLQAUAAYACAAAACEAOP0h/9YAAACU&#10;AQAACwAAAAAAAAAAAAAAAAAvAQAAX3JlbHMvLnJlbHNQSwECLQAUAAYACAAAACEAnwruG5cBAAAh&#10;AwAADgAAAAAAAAAAAAAAAAAuAgAAZHJzL2Uyb0RvYy54bWxQSwECLQAUAAYACAAAACEAOtbjDuAA&#10;AAAPAQAADwAAAAAAAAAAAAAAAADxAwAAZHJzL2Rvd25yZXYueG1sUEsFBgAAAAAEAAQA8wAAAP4E&#10;AAAAAA==&#10;" filled="f" stroked="f">
              <v:textbox inset="0,0,0,0">
                <w:txbxContent>
                  <w:p w14:paraId="0C357037" w14:textId="77777777" w:rsidR="00CA0D37" w:rsidRDefault="00BE4D62">
                    <w:pPr>
                      <w:pStyle w:val="BodyText"/>
                      <w:spacing w:before="5"/>
                      <w:ind w:left="60"/>
                      <w:jc w:val="left"/>
                    </w:pPr>
                    <w:r>
                      <w:rPr>
                        <w:spacing w:val="-5"/>
                      </w:rPr>
                      <w:fldChar w:fldCharType="begin"/>
                    </w:r>
                    <w:r>
                      <w:rPr>
                        <w:spacing w:val="-5"/>
                      </w:rPr>
                      <w:instrText xml:space="preserve"> PAGE </w:instrText>
                    </w:r>
                    <w:r>
                      <w:rPr>
                        <w:spacing w:val="-5"/>
                      </w:rPr>
                      <w:fldChar w:fldCharType="separate"/>
                    </w:r>
                    <w:r>
                      <w:rPr>
                        <w:spacing w:val="-5"/>
                      </w:rPr>
                      <w:t>173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EB3E" w14:textId="77777777" w:rsidR="00527405" w:rsidRDefault="00527405">
      <w:r>
        <w:separator/>
      </w:r>
    </w:p>
  </w:footnote>
  <w:footnote w:type="continuationSeparator" w:id="0">
    <w:p w14:paraId="11CADD1E" w14:textId="77777777" w:rsidR="00527405" w:rsidRDefault="00527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217C" w14:textId="77777777" w:rsidR="00464DF9" w:rsidRDefault="000C39E2">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evenAndOddHeaders/>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0D37"/>
    <w:rsid w:val="00022591"/>
    <w:rsid w:val="00035467"/>
    <w:rsid w:val="00062BBE"/>
    <w:rsid w:val="0006337D"/>
    <w:rsid w:val="00064C00"/>
    <w:rsid w:val="00067296"/>
    <w:rsid w:val="00070FCD"/>
    <w:rsid w:val="000712BC"/>
    <w:rsid w:val="0009101C"/>
    <w:rsid w:val="00092839"/>
    <w:rsid w:val="00092CB1"/>
    <w:rsid w:val="000B0BD5"/>
    <w:rsid w:val="000C39E2"/>
    <w:rsid w:val="000C50BC"/>
    <w:rsid w:val="000D72A9"/>
    <w:rsid w:val="00102050"/>
    <w:rsid w:val="001045BB"/>
    <w:rsid w:val="0011130B"/>
    <w:rsid w:val="0011793E"/>
    <w:rsid w:val="001364E0"/>
    <w:rsid w:val="00157843"/>
    <w:rsid w:val="00175223"/>
    <w:rsid w:val="0019181F"/>
    <w:rsid w:val="0019709F"/>
    <w:rsid w:val="001C0577"/>
    <w:rsid w:val="001D076E"/>
    <w:rsid w:val="001E615C"/>
    <w:rsid w:val="001E768A"/>
    <w:rsid w:val="001F788F"/>
    <w:rsid w:val="001F7E1E"/>
    <w:rsid w:val="00206CA7"/>
    <w:rsid w:val="00210519"/>
    <w:rsid w:val="00212355"/>
    <w:rsid w:val="00221D66"/>
    <w:rsid w:val="00232A42"/>
    <w:rsid w:val="00232E32"/>
    <w:rsid w:val="00251761"/>
    <w:rsid w:val="00257FBB"/>
    <w:rsid w:val="002662FD"/>
    <w:rsid w:val="00275EB6"/>
    <w:rsid w:val="00276A0E"/>
    <w:rsid w:val="00285E30"/>
    <w:rsid w:val="00286163"/>
    <w:rsid w:val="002869B4"/>
    <w:rsid w:val="002879C6"/>
    <w:rsid w:val="002A3C10"/>
    <w:rsid w:val="002A5018"/>
    <w:rsid w:val="002A625A"/>
    <w:rsid w:val="002C542F"/>
    <w:rsid w:val="002E182F"/>
    <w:rsid w:val="002E3136"/>
    <w:rsid w:val="002F1862"/>
    <w:rsid w:val="00301901"/>
    <w:rsid w:val="00306A6B"/>
    <w:rsid w:val="0031009F"/>
    <w:rsid w:val="00310F14"/>
    <w:rsid w:val="00343C4F"/>
    <w:rsid w:val="003502A3"/>
    <w:rsid w:val="00356E0F"/>
    <w:rsid w:val="00360E8A"/>
    <w:rsid w:val="003B0C83"/>
    <w:rsid w:val="003B6943"/>
    <w:rsid w:val="003C23C0"/>
    <w:rsid w:val="003C40E2"/>
    <w:rsid w:val="003F653D"/>
    <w:rsid w:val="003F7107"/>
    <w:rsid w:val="004138C8"/>
    <w:rsid w:val="00425CDC"/>
    <w:rsid w:val="00432B49"/>
    <w:rsid w:val="00445139"/>
    <w:rsid w:val="00464DF9"/>
    <w:rsid w:val="0046687D"/>
    <w:rsid w:val="00473177"/>
    <w:rsid w:val="00474EAA"/>
    <w:rsid w:val="00484FC5"/>
    <w:rsid w:val="00497A73"/>
    <w:rsid w:val="004A6F05"/>
    <w:rsid w:val="004C2A2B"/>
    <w:rsid w:val="004E4680"/>
    <w:rsid w:val="004E555F"/>
    <w:rsid w:val="00512109"/>
    <w:rsid w:val="00523000"/>
    <w:rsid w:val="00527405"/>
    <w:rsid w:val="00532586"/>
    <w:rsid w:val="005342B3"/>
    <w:rsid w:val="00543199"/>
    <w:rsid w:val="00545225"/>
    <w:rsid w:val="00567488"/>
    <w:rsid w:val="005735DA"/>
    <w:rsid w:val="005911D2"/>
    <w:rsid w:val="005A4EBB"/>
    <w:rsid w:val="005B4024"/>
    <w:rsid w:val="005B7F75"/>
    <w:rsid w:val="005C26FF"/>
    <w:rsid w:val="005D160B"/>
    <w:rsid w:val="005D72E2"/>
    <w:rsid w:val="005E7539"/>
    <w:rsid w:val="005F6216"/>
    <w:rsid w:val="005F7FF2"/>
    <w:rsid w:val="00605A96"/>
    <w:rsid w:val="00614457"/>
    <w:rsid w:val="006322AC"/>
    <w:rsid w:val="00644856"/>
    <w:rsid w:val="006463E7"/>
    <w:rsid w:val="00650F3C"/>
    <w:rsid w:val="00656E97"/>
    <w:rsid w:val="00661D81"/>
    <w:rsid w:val="00690AC6"/>
    <w:rsid w:val="006957F9"/>
    <w:rsid w:val="006961B4"/>
    <w:rsid w:val="006A1A9E"/>
    <w:rsid w:val="006B0815"/>
    <w:rsid w:val="006B342B"/>
    <w:rsid w:val="006B34B4"/>
    <w:rsid w:val="006B7312"/>
    <w:rsid w:val="006D1812"/>
    <w:rsid w:val="006D3214"/>
    <w:rsid w:val="006D3A6D"/>
    <w:rsid w:val="006E6644"/>
    <w:rsid w:val="006F2964"/>
    <w:rsid w:val="00700FA6"/>
    <w:rsid w:val="007200FE"/>
    <w:rsid w:val="00722DE7"/>
    <w:rsid w:val="007310A3"/>
    <w:rsid w:val="00732A37"/>
    <w:rsid w:val="00733A89"/>
    <w:rsid w:val="007412E0"/>
    <w:rsid w:val="0074307D"/>
    <w:rsid w:val="00744C67"/>
    <w:rsid w:val="007567E3"/>
    <w:rsid w:val="00763DEF"/>
    <w:rsid w:val="00773D1F"/>
    <w:rsid w:val="00780244"/>
    <w:rsid w:val="00780C84"/>
    <w:rsid w:val="00783DC5"/>
    <w:rsid w:val="00786F01"/>
    <w:rsid w:val="00797C4A"/>
    <w:rsid w:val="007B09D4"/>
    <w:rsid w:val="007C1A8D"/>
    <w:rsid w:val="007C6D5A"/>
    <w:rsid w:val="00800B7A"/>
    <w:rsid w:val="008155CB"/>
    <w:rsid w:val="00821000"/>
    <w:rsid w:val="00832E31"/>
    <w:rsid w:val="0083337C"/>
    <w:rsid w:val="00842F8A"/>
    <w:rsid w:val="00846078"/>
    <w:rsid w:val="00864364"/>
    <w:rsid w:val="008668F8"/>
    <w:rsid w:val="00876661"/>
    <w:rsid w:val="00880B38"/>
    <w:rsid w:val="00884CA1"/>
    <w:rsid w:val="0088534D"/>
    <w:rsid w:val="00885E93"/>
    <w:rsid w:val="008C0F1E"/>
    <w:rsid w:val="008D21D5"/>
    <w:rsid w:val="008E70F9"/>
    <w:rsid w:val="00901E7E"/>
    <w:rsid w:val="00916055"/>
    <w:rsid w:val="00916306"/>
    <w:rsid w:val="009166F4"/>
    <w:rsid w:val="00942F21"/>
    <w:rsid w:val="00944E93"/>
    <w:rsid w:val="009723F2"/>
    <w:rsid w:val="00983956"/>
    <w:rsid w:val="00983A87"/>
    <w:rsid w:val="00983EBB"/>
    <w:rsid w:val="009A56A3"/>
    <w:rsid w:val="009A7CF0"/>
    <w:rsid w:val="009B0B02"/>
    <w:rsid w:val="009B56E8"/>
    <w:rsid w:val="009C5F3F"/>
    <w:rsid w:val="009D2B1D"/>
    <w:rsid w:val="009E05D5"/>
    <w:rsid w:val="009E400C"/>
    <w:rsid w:val="00A05E82"/>
    <w:rsid w:val="00A07D73"/>
    <w:rsid w:val="00A07F29"/>
    <w:rsid w:val="00A12727"/>
    <w:rsid w:val="00A144AD"/>
    <w:rsid w:val="00A207EA"/>
    <w:rsid w:val="00A4396A"/>
    <w:rsid w:val="00A578FD"/>
    <w:rsid w:val="00A6228A"/>
    <w:rsid w:val="00A70201"/>
    <w:rsid w:val="00A74C86"/>
    <w:rsid w:val="00A94E73"/>
    <w:rsid w:val="00AA1D38"/>
    <w:rsid w:val="00AA2BF9"/>
    <w:rsid w:val="00AA2C2C"/>
    <w:rsid w:val="00AB0F88"/>
    <w:rsid w:val="00AD48AF"/>
    <w:rsid w:val="00AF44E0"/>
    <w:rsid w:val="00AF5A86"/>
    <w:rsid w:val="00B03246"/>
    <w:rsid w:val="00B3329E"/>
    <w:rsid w:val="00B35030"/>
    <w:rsid w:val="00B46355"/>
    <w:rsid w:val="00B478F2"/>
    <w:rsid w:val="00B66E7A"/>
    <w:rsid w:val="00B75EEC"/>
    <w:rsid w:val="00B94447"/>
    <w:rsid w:val="00BA1B95"/>
    <w:rsid w:val="00BA7D56"/>
    <w:rsid w:val="00BB13E4"/>
    <w:rsid w:val="00BB67B4"/>
    <w:rsid w:val="00BD2ED3"/>
    <w:rsid w:val="00BE4D62"/>
    <w:rsid w:val="00BE789B"/>
    <w:rsid w:val="00BE7976"/>
    <w:rsid w:val="00C112D4"/>
    <w:rsid w:val="00C14731"/>
    <w:rsid w:val="00C16ACB"/>
    <w:rsid w:val="00C21A62"/>
    <w:rsid w:val="00C46D63"/>
    <w:rsid w:val="00C52B1C"/>
    <w:rsid w:val="00C530D8"/>
    <w:rsid w:val="00C73658"/>
    <w:rsid w:val="00C76240"/>
    <w:rsid w:val="00CA0D37"/>
    <w:rsid w:val="00CA1494"/>
    <w:rsid w:val="00CA5B9E"/>
    <w:rsid w:val="00CB07DA"/>
    <w:rsid w:val="00CB6409"/>
    <w:rsid w:val="00CC21E1"/>
    <w:rsid w:val="00CD163E"/>
    <w:rsid w:val="00CF6107"/>
    <w:rsid w:val="00D13ED2"/>
    <w:rsid w:val="00D17794"/>
    <w:rsid w:val="00D20F93"/>
    <w:rsid w:val="00D51939"/>
    <w:rsid w:val="00D5285D"/>
    <w:rsid w:val="00D6319F"/>
    <w:rsid w:val="00D86BBA"/>
    <w:rsid w:val="00D877EA"/>
    <w:rsid w:val="00DA4332"/>
    <w:rsid w:val="00DC2808"/>
    <w:rsid w:val="00DE7634"/>
    <w:rsid w:val="00E73005"/>
    <w:rsid w:val="00E768DB"/>
    <w:rsid w:val="00E86233"/>
    <w:rsid w:val="00E86595"/>
    <w:rsid w:val="00EA0453"/>
    <w:rsid w:val="00EA3E1F"/>
    <w:rsid w:val="00EB1C17"/>
    <w:rsid w:val="00EC5AB1"/>
    <w:rsid w:val="00ED32A8"/>
    <w:rsid w:val="00F3679E"/>
    <w:rsid w:val="00F519A9"/>
    <w:rsid w:val="00F6112D"/>
    <w:rsid w:val="00F900E2"/>
    <w:rsid w:val="00FA22AC"/>
    <w:rsid w:val="00FB08CA"/>
    <w:rsid w:val="00FD3C9E"/>
    <w:rsid w:val="00FE21CE"/>
    <w:rsid w:val="00FE4CDC"/>
    <w:rsid w:val="00FF0E31"/>
    <w:rsid w:val="00FF3176"/>
    <w:rsid w:val="00FF328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9A836AA"/>
  <w15:docId w15:val="{0D15FF25-4CDB-4DB7-8CAC-268D46BB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08"/>
      <w:outlineLvl w:val="0"/>
    </w:pPr>
    <w:rPr>
      <w:b/>
      <w:bCs/>
      <w:sz w:val="24"/>
      <w:szCs w:val="24"/>
    </w:rPr>
  </w:style>
  <w:style w:type="paragraph" w:styleId="Heading2">
    <w:name w:val="heading 2"/>
    <w:basedOn w:val="Normal"/>
    <w:uiPriority w:val="9"/>
    <w:unhideWhenUsed/>
    <w:qFormat/>
    <w:pPr>
      <w:ind w:left="708"/>
      <w:jc w:val="both"/>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08"/>
      <w:jc w:val="both"/>
    </w:pPr>
  </w:style>
  <w:style w:type="paragraph" w:styleId="Title">
    <w:name w:val="Title"/>
    <w:basedOn w:val="Normal"/>
    <w:uiPriority w:val="10"/>
    <w:qFormat/>
    <w:pPr>
      <w:spacing w:before="231"/>
      <w:ind w:left="565" w:right="2"/>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5" w:lineRule="exact"/>
      <w:ind w:left="110"/>
    </w:pPr>
  </w:style>
  <w:style w:type="paragraph" w:styleId="Header">
    <w:name w:val="header"/>
    <w:basedOn w:val="Normal"/>
    <w:link w:val="HeaderChar"/>
    <w:uiPriority w:val="99"/>
    <w:unhideWhenUsed/>
    <w:rsid w:val="00983EBB"/>
    <w:pPr>
      <w:tabs>
        <w:tab w:val="center" w:pos="4513"/>
        <w:tab w:val="right" w:pos="9026"/>
      </w:tabs>
    </w:pPr>
  </w:style>
  <w:style w:type="character" w:customStyle="1" w:styleId="HeaderChar">
    <w:name w:val="Header Char"/>
    <w:basedOn w:val="DefaultParagraphFont"/>
    <w:link w:val="Header"/>
    <w:uiPriority w:val="99"/>
    <w:rsid w:val="00983EBB"/>
    <w:rPr>
      <w:rFonts w:ascii="Times New Roman" w:eastAsia="Times New Roman" w:hAnsi="Times New Roman" w:cs="Times New Roman"/>
    </w:rPr>
  </w:style>
  <w:style w:type="paragraph" w:styleId="Footer">
    <w:name w:val="footer"/>
    <w:basedOn w:val="Normal"/>
    <w:link w:val="FooterChar"/>
    <w:uiPriority w:val="99"/>
    <w:unhideWhenUsed/>
    <w:rsid w:val="00983EBB"/>
    <w:pPr>
      <w:tabs>
        <w:tab w:val="center" w:pos="4513"/>
        <w:tab w:val="right" w:pos="9026"/>
      </w:tabs>
    </w:pPr>
  </w:style>
  <w:style w:type="character" w:customStyle="1" w:styleId="FooterChar">
    <w:name w:val="Footer Char"/>
    <w:basedOn w:val="DefaultParagraphFont"/>
    <w:link w:val="Footer"/>
    <w:uiPriority w:val="99"/>
    <w:rsid w:val="00983EBB"/>
    <w:rPr>
      <w:rFonts w:ascii="Times New Roman" w:eastAsia="Times New Roman" w:hAnsi="Times New Roman" w:cs="Times New Roman"/>
    </w:rPr>
  </w:style>
  <w:style w:type="character" w:styleId="Hyperlink">
    <w:name w:val="Hyperlink"/>
    <w:basedOn w:val="DefaultParagraphFont"/>
    <w:uiPriority w:val="99"/>
    <w:unhideWhenUsed/>
    <w:rsid w:val="000D72A9"/>
    <w:rPr>
      <w:color w:val="0000FF" w:themeColor="hyperlink"/>
      <w:u w:val="single"/>
    </w:rPr>
  </w:style>
  <w:style w:type="character" w:styleId="UnresolvedMention">
    <w:name w:val="Unresolved Mention"/>
    <w:basedOn w:val="DefaultParagraphFont"/>
    <w:uiPriority w:val="99"/>
    <w:semiHidden/>
    <w:unhideWhenUsed/>
    <w:rsid w:val="000D72A9"/>
    <w:rPr>
      <w:color w:val="605E5C"/>
      <w:shd w:val="clear" w:color="auto" w:fill="E1DFDD"/>
    </w:rPr>
  </w:style>
  <w:style w:type="character" w:customStyle="1" w:styleId="BodyTextChar">
    <w:name w:val="Body Text Char"/>
    <w:basedOn w:val="DefaultParagraphFont"/>
    <w:link w:val="BodyText"/>
    <w:uiPriority w:val="1"/>
    <w:rsid w:val="00C46D63"/>
    <w:rPr>
      <w:rFonts w:ascii="Times New Roman" w:eastAsia="Times New Roman" w:hAnsi="Times New Roman" w:cs="Times New Roman"/>
    </w:rPr>
  </w:style>
  <w:style w:type="table" w:styleId="PlainTable2">
    <w:name w:val="Plain Table 2"/>
    <w:basedOn w:val="TableNormal"/>
    <w:uiPriority w:val="42"/>
    <w:rsid w:val="00D528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064C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0ahmadyani@mit.edu%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64753/jcasc.v10i4.279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22</Pages>
  <Words>9078</Words>
  <Characters>51747</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This Smart Hotel is all about Sustainability! Impact of Perceived Compatibility, Perceived Enjoyment and Perceived Usefulness on Sustainable Travel Intention</vt:lpstr>
    </vt:vector>
  </TitlesOfParts>
  <Company/>
  <LinksUpToDate>false</LinksUpToDate>
  <CharactersWithSpaces>60704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Smart Hotel is all about Sustainability! Impact of Perceived Compatibility, Perceived Enjoyment and Perceived Usefulness on Sustainable Travel Intention</dc:title>
  <dc:creator>xxxxxxxxx</dc:creator>
  <cp:lastModifiedBy>azi nugroho</cp:lastModifiedBy>
  <cp:revision>644</cp:revision>
  <cp:lastPrinted>2026-03-03T21:00:00Z</cp:lastPrinted>
  <dcterms:created xsi:type="dcterms:W3CDTF">2026-03-03T20:52:00Z</dcterms:created>
  <dcterms:modified xsi:type="dcterms:W3CDTF">2026-05-11T08:22:00Z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Microsoft® Word LTSC</vt:lpwstr>
  </property>
  <property fmtid="{D5CDD505-2E9C-101B-9397-08002B2CF9AE}" pid="4" name="LastSaved">
    <vt:filetime>2026-03-03T00:00:00Z</vt:filetime>
  </property>
  <property fmtid="{D5CDD505-2E9C-101B-9397-08002B2CF9AE}" pid="5" name="Producer">
    <vt:lpwstr>Microsoft® Word LTSC</vt:lpwstr>
  </property>
</Properties>
</file>